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6536"/>
        <w:gridCol w:w="1843"/>
        <w:gridCol w:w="1701"/>
        <w:gridCol w:w="960"/>
        <w:gridCol w:w="960"/>
        <w:gridCol w:w="960"/>
      </w:tblGrid>
      <w:tr w:rsidR="00601A7F" w:rsidRPr="00601A7F" w:rsidTr="00601A7F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AKTIVA: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indeks</w:t>
            </w:r>
            <w:proofErr w:type="spellEnd"/>
          </w:p>
        </w:tc>
      </w:tr>
      <w:tr w:rsidR="00601A7F" w:rsidRPr="00601A7F" w:rsidTr="00601A7F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 AKTIVA=POSLOVNA IMOVINA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6.898.684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7.845.497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UPISAN A NEUPLAĆEN KAPITAL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STALNA IMOVINA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2.702.784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3.820.284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Nematerijalna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imovina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15.632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607.033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38,83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Nekretnine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postrojenja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oprema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1.992.644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2.332.497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Biološka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finansijki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plasmani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694.508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880.754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ODLOŽENA PORESKA SREDSTVA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21.623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OBRTNA IMOVINA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4.164.853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4.003.590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Zalihe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1.530.571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1.776.779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Potraživanja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prodaje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669.654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604.662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Potraživanja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specifičnih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Druga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5.908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vrednuju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vrednosti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kroz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bilans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uspeha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Kratkoročni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finansijki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plasmani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1.850.433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1.526.255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Gotovinski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ekvivalent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gotovina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18.483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Porez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vrednost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58.069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40.974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601A7F" w:rsidRPr="00601A7F" w:rsidTr="00601A7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vremenska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razgraničenja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27.768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0C11AB" w:rsidRDefault="005963C9"/>
    <w:p w:rsidR="00601A7F" w:rsidRDefault="00601A7F"/>
    <w:p w:rsidR="00601A7F" w:rsidRDefault="00601A7F"/>
    <w:p w:rsidR="00601A7F" w:rsidRDefault="00601A7F"/>
    <w:p w:rsidR="00601A7F" w:rsidRDefault="00601A7F"/>
    <w:p w:rsidR="00601A7F" w:rsidRDefault="00601A7F"/>
    <w:p w:rsidR="00601A7F" w:rsidRDefault="00601A7F"/>
    <w:p w:rsidR="00601A7F" w:rsidRDefault="00601A7F"/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  <w:gridCol w:w="1701"/>
        <w:gridCol w:w="960"/>
        <w:gridCol w:w="960"/>
        <w:gridCol w:w="960"/>
      </w:tblGrid>
      <w:tr w:rsidR="00601A7F" w:rsidRPr="00601A7F" w:rsidTr="00601A7F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PASIVA: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indeks</w:t>
            </w:r>
            <w:proofErr w:type="spellEnd"/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UKUPNA PASIVA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6.898.684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7.845.497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5.902.813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6.529.071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kapital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1.217.288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1.217.288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Upisani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neuplaćeni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kapital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Otkupljene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sopstevne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akcije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117.116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117.116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Rezerve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677.528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677.528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Revalorizacione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rezerve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revalorizacije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nematerijalne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imovine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nekretnina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postrojenja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opeme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Nerealizovani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dobici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hartija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vrednosti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drugih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komponenti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ostalog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sveobuhvatnog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Nerealizovani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gubici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hartija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vrednosti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drugih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komponenti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ostalog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sveobuhvatnog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50.478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28.127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Nerasporedjeni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dobitak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4.175.591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4.779.498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Učešće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bez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Gubitak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DUGOROČNA REZERVISANJA I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64.649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137.152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rezervisanja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64.649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137.152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Dugoročne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ODLOŽENE PORESKE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KRATKOROČNE OBAVEZE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931.222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1.179.274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Kratkoročne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Primljeni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avansi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depoziti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kaucije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69.299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45.711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poslovanja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732.934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966.244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Ostale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kratkoročne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86.468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102.717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poreza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dodatu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vrednost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Obaveze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ostale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poreze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doprinose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druge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dažbine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41.120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62.678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601A7F" w:rsidRPr="00601A7F" w:rsidTr="00601A7F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Pasivna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vremenska</w:t>
            </w:r>
            <w:proofErr w:type="spellEnd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razgraničenja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A7F" w:rsidRPr="00601A7F" w:rsidRDefault="00601A7F" w:rsidP="00601A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7F" w:rsidRPr="00601A7F" w:rsidRDefault="00601A7F" w:rsidP="00601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F">
              <w:rPr>
                <w:rFonts w:ascii="Times New Roman" w:eastAsia="Times New Roman" w:hAnsi="Times New Roman" w:cs="Times New Roman"/>
                <w:sz w:val="24"/>
                <w:szCs w:val="24"/>
              </w:rPr>
              <w:t>1,92</w:t>
            </w:r>
          </w:p>
        </w:tc>
      </w:tr>
    </w:tbl>
    <w:p w:rsidR="005963C9" w:rsidRDefault="005963C9" w:rsidP="005963C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963C9" w:rsidRDefault="005963C9" w:rsidP="005963C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963C9" w:rsidRDefault="005963C9" w:rsidP="005963C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963C9" w:rsidRPr="00A51B70" w:rsidRDefault="005963C9" w:rsidP="005963C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Horizontalna i vertikalna analiza bilansa stanja</w:t>
      </w:r>
    </w:p>
    <w:p w:rsidR="005963C9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sz w:val="28"/>
          <w:szCs w:val="28"/>
          <w:lang w:val="sr-Latn-RS"/>
        </w:rPr>
        <w:t xml:space="preserve">Struktura bilansa pokazuje koliko jedna bilansna pozicija učestvuje u ukupnoj aktivi ili pasivi. Struktura se izračunava stavljanjem u odnos vrednosti bilansne pozicije prema zbiru aktive ili pasive. </w:t>
      </w:r>
    </w:p>
    <w:p w:rsidR="005963C9" w:rsidRPr="00A51B70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963C9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sz w:val="28"/>
          <w:szCs w:val="28"/>
          <w:lang w:val="sr-Latn-RS"/>
        </w:rPr>
        <w:t>Bazni indeks izražava relativni odnos između nivoa jedne pojave u više vremenskih perioda u odnosu na nivo te iste pojave u baznom periodu. Vrednosti indeksa pokazuju pre svega dinamičko kretanje pojave.</w:t>
      </w:r>
    </w:p>
    <w:p w:rsidR="005963C9" w:rsidRPr="00A51B70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963C9" w:rsidRPr="00A51B70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sz w:val="28"/>
          <w:szCs w:val="28"/>
          <w:lang w:val="sr-Latn-RS"/>
        </w:rPr>
        <w:t>U strukturi imovine bilansa stanja obrtna imovina ima preovlađujuće učešće. Dinamički posmatrano učešće obrtne imovine je manje u 2015. u odnosu na 2014.godinu (60,37% u 2014. i 51,03% u 2015. godini). Dominantno učešće obrtne imovine pokazuje da je reč o tipičnom proizvodnom preduzeću. U strukturi obrtne imovine, u 2014 godini najveće učešće pripada kratkoročnim finansijskim plasmanima, koji se u 2015.godini smanjuju za 18% i gube primat u strukturi obrtne imovine. U 2015. godini najveće učešće pripada zalihama 22,65% koje su se realno povećale za 16%, dok se njihovo učešće u strukturi obrtne imovine nije značano promenilo. Držanje visokih zaliha može da stvori probleme sa aspekta upravljanja likvidnošću preduzeća, jer  posle odrđenog perioda one postaju zastarele, i oštećene u vidu kala, rastura, loma ili škarta. Potraživanja po osnovu prodaje su se u 2015.godini smanjila za 10%.</w:t>
      </w:r>
    </w:p>
    <w:p w:rsidR="005963C9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sz w:val="28"/>
          <w:szCs w:val="28"/>
          <w:lang w:val="sr-Latn-RS"/>
        </w:rPr>
        <w:t xml:space="preserve">U strukturi osnovnih sredstava najveće učešće pripada nekretninama postojenjima i opremi (28,88% i 29,73% u 2014. i 2015.godini). Dugoročni finansijski plasmani učestvuju sa 10,07% u 2014. i 11,23% u 2015.godini u ukupnoj sumi stalne imovine. Pozicija nematerijalna ulaganja beleže značajan rast u 2015.godini (388.3%).  </w:t>
      </w:r>
    </w:p>
    <w:p w:rsidR="005963C9" w:rsidRPr="00A51B70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5963C9" w:rsidRPr="00A51B70" w:rsidRDefault="005963C9" w:rsidP="00596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51B70">
        <w:rPr>
          <w:rFonts w:ascii="Times New Roman" w:hAnsi="Times New Roman" w:cs="Times New Roman"/>
          <w:sz w:val="28"/>
          <w:szCs w:val="28"/>
          <w:lang w:val="sr-Latn-RS"/>
        </w:rPr>
        <w:t>U strukturi ukupne pasive učešće kapitala (sopstvenih izvora finansiranja) je daleko veće od učešća obaveza (tuđih izvora finansiranja) i to 85,56% u 2014. i 83,22% u 2015.godini. Smanjenje učešća kapitala je uslovljeno povećanjem kratkoročnih obaveza. U strukturi kapitala dominantno učešće pripada poziciji neraspoređene dobiti, čak 60,53% u 2014. i 60,92% u 2015.godini. Neraspoređena dobit se formira na osnovu neto dobiti preduzeća i služi za akumulaciju i isplatu dividendi vlasnicima kapitala. Treba ispitati i u kojim iznosima su isplaćene dividende u dinamici i u kojoj meri je to uticalo na smanjenje neraspoređene dobiti. U strukturi dugoročnih rezervisanja i obaveza postoje samo dugoročna rezervisanja koja beleže rast za 212% u 2015.godini, dok preduzeće nema dugoročnih obaveza. U strukturi kratkoročnih obaveza najveće učešće zauzimaju obaveze iz poslovanja, koja beleže i rast od 32%. Iako su se kratkoročne finansijske obaveze povećale za 30% u strukturi obrtne imovine se nisu promenile i čine zanemarljiv deo 0,02%.</w:t>
      </w:r>
    </w:p>
    <w:p w:rsidR="00601A7F" w:rsidRDefault="00601A7F"/>
    <w:sectPr w:rsidR="00601A7F" w:rsidSect="00601A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F"/>
    <w:rsid w:val="005963C9"/>
    <w:rsid w:val="00601A7F"/>
    <w:rsid w:val="0078700C"/>
    <w:rsid w:val="00C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2</cp:revision>
  <dcterms:created xsi:type="dcterms:W3CDTF">2016-11-16T10:31:00Z</dcterms:created>
  <dcterms:modified xsi:type="dcterms:W3CDTF">2016-12-05T11:42:00Z</dcterms:modified>
</cp:coreProperties>
</file>