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Pr="00C860A3" w:rsidRDefault="00C860A3">
      <w:pPr>
        <w:rPr>
          <w:b/>
          <w:sz w:val="32"/>
          <w:szCs w:val="32"/>
          <w:lang/>
        </w:rPr>
      </w:pPr>
      <w:r w:rsidRPr="00C860A3">
        <w:rPr>
          <w:b/>
          <w:sz w:val="32"/>
          <w:szCs w:val="32"/>
          <w:lang/>
        </w:rPr>
        <w:t>Zadaci za ispit Analiza finansijskih izveštaja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poslovne aktive,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operativne imovine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strukture obrtne imovine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Koeficijent obrta obrtne imovine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Efikasnost ukupne imovine i rok povrata imovine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kratkoročne finansijske ravnoteže,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dugoročne finansijske ravnoteže na osnovu dugoročno vezanih sredstava i na osnovu neto obrtnog fonda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Koeficijent obrta opšte, rigorozne i novčane likvidnosti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Finansijska stabilnost,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Solventnost</w:t>
      </w:r>
    </w:p>
    <w:p w:rsidR="00C860A3" w:rsidRDefault="00C860A3" w:rsidP="00C860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Analiza boniteta Z score modelom</w:t>
      </w:r>
    </w:p>
    <w:p w:rsidR="00C860A3" w:rsidRPr="00C860A3" w:rsidRDefault="00C860A3" w:rsidP="00C860A3">
      <w:pPr>
        <w:pStyle w:val="ListParagraph"/>
        <w:rPr>
          <w:lang/>
        </w:rPr>
      </w:pPr>
    </w:p>
    <w:sectPr w:rsidR="00C860A3" w:rsidRPr="00C860A3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8E6"/>
    <w:multiLevelType w:val="hybridMultilevel"/>
    <w:tmpl w:val="8C7CE32E"/>
    <w:lvl w:ilvl="0" w:tplc="00005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60A3"/>
    <w:rsid w:val="00531266"/>
    <w:rsid w:val="005E66E3"/>
    <w:rsid w:val="00C8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2017-01-20T08:15:00Z</dcterms:created>
  <dcterms:modified xsi:type="dcterms:W3CDTF">2017-01-20T08:22:00Z</dcterms:modified>
</cp:coreProperties>
</file>