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163"/>
        <w:gridCol w:w="973"/>
        <w:gridCol w:w="1615"/>
        <w:gridCol w:w="1497"/>
        <w:gridCol w:w="167"/>
        <w:gridCol w:w="1872"/>
        <w:gridCol w:w="1222"/>
      </w:tblGrid>
      <w:tr w:rsidR="00DA42A5" w:rsidRPr="002D43DE" w:rsidTr="00BF4D91">
        <w:trPr>
          <w:trHeight w:val="235"/>
        </w:trPr>
        <w:tc>
          <w:tcPr>
            <w:tcW w:w="9288" w:type="dxa"/>
            <w:gridSpan w:val="8"/>
          </w:tcPr>
          <w:p w:rsidR="00DA42A5" w:rsidRPr="002D43DE" w:rsidRDefault="00DA42A5" w:rsidP="00BF4D91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DA42A5" w:rsidRPr="002D43DE" w:rsidTr="00BF4D91">
        <w:trPr>
          <w:trHeight w:val="235"/>
        </w:trPr>
        <w:tc>
          <w:tcPr>
            <w:tcW w:w="2098" w:type="dxa"/>
            <w:gridSpan w:val="2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DA42A5" w:rsidRDefault="00DA42A5" w:rsidP="00BF4D91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2017/2018. </w:t>
            </w:r>
          </w:p>
          <w:p w:rsidR="00DA42A5" w:rsidRPr="00477161" w:rsidRDefault="00DA42A5" w:rsidP="00BF4D91">
            <w:pPr>
              <w:rPr>
                <w:bCs/>
                <w:sz w:val="24"/>
                <w:szCs w:val="24"/>
                <w:lang w:val="sr-Cyrl-ME"/>
              </w:rPr>
            </w:pPr>
            <w:r>
              <w:rPr>
                <w:bCs/>
                <w:sz w:val="24"/>
                <w:szCs w:val="24"/>
                <w:lang w:val="sr-Cyrl-ME"/>
              </w:rPr>
              <w:t xml:space="preserve">зимски семестар </w:t>
            </w:r>
          </w:p>
        </w:tc>
      </w:tr>
      <w:tr w:rsidR="00DA42A5" w:rsidRPr="002D43DE" w:rsidTr="00BF4D91">
        <w:trPr>
          <w:trHeight w:val="235"/>
        </w:trPr>
        <w:tc>
          <w:tcPr>
            <w:tcW w:w="2098" w:type="dxa"/>
            <w:gridSpan w:val="2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DA42A5" w:rsidRPr="00477161" w:rsidRDefault="00DA42A5" w:rsidP="00BF4D91">
            <w:pPr>
              <w:rPr>
                <w:bCs/>
                <w:sz w:val="24"/>
                <w:szCs w:val="24"/>
                <w:lang w:val="sr-Cyrl-RS"/>
              </w:rPr>
            </w:pPr>
            <w:r w:rsidRPr="00477161">
              <w:rPr>
                <w:bCs/>
                <w:sz w:val="24"/>
                <w:szCs w:val="24"/>
                <w:lang w:val="sr-Cyrl-RS"/>
              </w:rPr>
              <w:t>ЗАЈЕДНИЧКИ НА СВИМ СТУДИЈСКИМ ПРОГРАМИМА</w:t>
            </w:r>
            <w:r>
              <w:rPr>
                <w:bCs/>
                <w:sz w:val="24"/>
                <w:szCs w:val="24"/>
                <w:lang w:val="sr-Cyrl-RS"/>
              </w:rPr>
              <w:t xml:space="preserve"> (</w:t>
            </w:r>
            <w:r w:rsidRPr="00477161">
              <w:rPr>
                <w:bCs/>
                <w:sz w:val="24"/>
                <w:szCs w:val="24"/>
                <w:lang w:val="sr-Cyrl-RS"/>
              </w:rPr>
              <w:t>Трговина и међународно пословање</w:t>
            </w:r>
            <w:r>
              <w:rPr>
                <w:bCs/>
                <w:sz w:val="24"/>
                <w:szCs w:val="24"/>
                <w:lang w:val="sr-Cyrl-RS"/>
              </w:rPr>
              <w:t>,</w:t>
            </w:r>
            <w:r w:rsidRPr="00477161">
              <w:rPr>
                <w:bCs/>
                <w:sz w:val="24"/>
                <w:szCs w:val="24"/>
                <w:lang w:val="sr-Cyrl-RS"/>
              </w:rPr>
              <w:tab/>
              <w:t xml:space="preserve"> </w:t>
            </w:r>
          </w:p>
          <w:p w:rsidR="00DA42A5" w:rsidRPr="00477161" w:rsidRDefault="00DA42A5" w:rsidP="00BF4D91">
            <w:pPr>
              <w:rPr>
                <w:bCs/>
                <w:sz w:val="24"/>
                <w:szCs w:val="24"/>
                <w:lang w:val="sr-Cyrl-RS"/>
              </w:rPr>
            </w:pPr>
            <w:r w:rsidRPr="00477161">
              <w:rPr>
                <w:bCs/>
                <w:sz w:val="24"/>
                <w:szCs w:val="24"/>
                <w:lang w:val="sr-Cyrl-RS"/>
              </w:rPr>
              <w:t>Предузетништво</w:t>
            </w:r>
            <w:r>
              <w:rPr>
                <w:bCs/>
                <w:sz w:val="24"/>
                <w:szCs w:val="24"/>
                <w:lang w:val="sr-Cyrl-RS"/>
              </w:rPr>
              <w:t>,</w:t>
            </w:r>
            <w:r w:rsidRPr="00477161">
              <w:rPr>
                <w:bCs/>
                <w:sz w:val="24"/>
                <w:szCs w:val="24"/>
                <w:lang w:val="sr-Cyrl-RS"/>
              </w:rPr>
              <w:tab/>
              <w:t xml:space="preserve"> </w:t>
            </w:r>
          </w:p>
          <w:p w:rsidR="00DA42A5" w:rsidRPr="00477161" w:rsidRDefault="00DA42A5" w:rsidP="00BF4D91">
            <w:pPr>
              <w:rPr>
                <w:bCs/>
                <w:sz w:val="24"/>
                <w:szCs w:val="24"/>
                <w:lang w:val="sr-Cyrl-RS"/>
              </w:rPr>
            </w:pPr>
            <w:r w:rsidRPr="00477161"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  <w:r>
              <w:rPr>
                <w:bCs/>
                <w:sz w:val="24"/>
                <w:szCs w:val="24"/>
                <w:lang w:val="sr-Cyrl-RS"/>
              </w:rPr>
              <w:t>,</w:t>
            </w:r>
            <w:r w:rsidRPr="00477161">
              <w:rPr>
                <w:bCs/>
                <w:sz w:val="24"/>
                <w:szCs w:val="24"/>
                <w:lang w:val="sr-Cyrl-RS"/>
              </w:rPr>
              <w:tab/>
              <w:t xml:space="preserve"> </w:t>
            </w:r>
          </w:p>
          <w:p w:rsidR="00DA42A5" w:rsidRPr="00477161" w:rsidRDefault="00DA42A5" w:rsidP="00BF4D91">
            <w:pPr>
              <w:rPr>
                <w:bCs/>
                <w:sz w:val="24"/>
                <w:szCs w:val="24"/>
                <w:lang w:val="sr-Cyrl-RS"/>
              </w:rPr>
            </w:pPr>
            <w:r w:rsidRPr="00477161">
              <w:rPr>
                <w:bCs/>
                <w:sz w:val="24"/>
                <w:szCs w:val="24"/>
                <w:lang w:val="sr-Cyrl-RS"/>
              </w:rPr>
              <w:t>Туризам и хотелијерство</w:t>
            </w:r>
            <w:r>
              <w:rPr>
                <w:bCs/>
                <w:sz w:val="24"/>
                <w:szCs w:val="24"/>
                <w:lang w:val="sr-Cyrl-RS"/>
              </w:rPr>
              <w:t>,</w:t>
            </w:r>
            <w:r w:rsidRPr="00477161">
              <w:rPr>
                <w:bCs/>
                <w:sz w:val="24"/>
                <w:szCs w:val="24"/>
                <w:lang w:val="sr-Cyrl-RS"/>
              </w:rPr>
              <w:tab/>
              <w:t xml:space="preserve"> </w:t>
            </w:r>
          </w:p>
          <w:p w:rsidR="00DA42A5" w:rsidRPr="002D43DE" w:rsidRDefault="00DA42A5" w:rsidP="00BF4D91">
            <w:pPr>
              <w:rPr>
                <w:bCs/>
                <w:sz w:val="24"/>
                <w:szCs w:val="24"/>
                <w:lang w:val="sr-Cyrl-RS"/>
              </w:rPr>
            </w:pPr>
            <w:r w:rsidRPr="00477161">
              <w:rPr>
                <w:bCs/>
                <w:sz w:val="24"/>
                <w:szCs w:val="24"/>
                <w:lang w:val="sr-Cyrl-RS"/>
              </w:rPr>
              <w:t>Примењена информатика</w:t>
            </w:r>
            <w:r>
              <w:rPr>
                <w:bCs/>
                <w:sz w:val="24"/>
                <w:szCs w:val="24"/>
                <w:lang w:val="sr-Cyrl-RS"/>
              </w:rPr>
              <w:t>),  ПРВА ГОДИНА</w:t>
            </w:r>
          </w:p>
        </w:tc>
      </w:tr>
      <w:tr w:rsidR="00DA42A5" w:rsidRPr="002D43DE" w:rsidTr="00BF4D91">
        <w:trPr>
          <w:trHeight w:val="232"/>
        </w:trPr>
        <w:tc>
          <w:tcPr>
            <w:tcW w:w="2098" w:type="dxa"/>
            <w:gridSpan w:val="2"/>
          </w:tcPr>
          <w:p w:rsidR="00DA42A5" w:rsidRPr="002D43DE" w:rsidRDefault="00DA42A5" w:rsidP="00BF4D91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CS"/>
              </w:rPr>
            </w:pPr>
            <w:bookmarkStart w:id="0" w:name="PrviStraniPoslovniJezik1Engleski"/>
            <w:r w:rsidRPr="00C178D5">
              <w:rPr>
                <w:b/>
                <w:bCs/>
                <w:lang w:val="sr-Cyrl-CS"/>
              </w:rPr>
              <w:t>ПРВИ СТРАНИ ПОСЛОВНИ ЈЕЗИК 1 ЕНГЛЕСКИ</w:t>
            </w:r>
            <w:bookmarkEnd w:id="0"/>
          </w:p>
        </w:tc>
      </w:tr>
      <w:tr w:rsidR="00DA42A5" w:rsidRPr="002D43DE" w:rsidTr="00BF4D91">
        <w:trPr>
          <w:trHeight w:val="232"/>
        </w:trPr>
        <w:tc>
          <w:tcPr>
            <w:tcW w:w="2098" w:type="dxa"/>
            <w:gridSpan w:val="2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DA42A5" w:rsidRPr="002D43DE" w:rsidRDefault="00DA42A5" w:rsidP="00BF4D9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Маја Лемајић</w:t>
            </w:r>
          </w:p>
        </w:tc>
      </w:tr>
      <w:tr w:rsidR="00DA42A5" w:rsidRPr="002D43DE" w:rsidTr="00BF4D91">
        <w:trPr>
          <w:trHeight w:val="232"/>
        </w:trPr>
        <w:tc>
          <w:tcPr>
            <w:tcW w:w="2098" w:type="dxa"/>
            <w:gridSpan w:val="2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DA42A5" w:rsidRPr="002D43DE" w:rsidRDefault="00DA42A5" w:rsidP="00BF4D91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 xml:space="preserve">Нина Кисин, Ивана Мартиновић – Барбул </w:t>
            </w:r>
          </w:p>
        </w:tc>
      </w:tr>
      <w:tr w:rsidR="00DA42A5" w:rsidRPr="002D43DE" w:rsidTr="00BF4D91">
        <w:trPr>
          <w:trHeight w:val="232"/>
        </w:trPr>
        <w:tc>
          <w:tcPr>
            <w:tcW w:w="2098" w:type="dxa"/>
            <w:gridSpan w:val="2"/>
          </w:tcPr>
          <w:p w:rsidR="00DA42A5" w:rsidRPr="002D43DE" w:rsidRDefault="00DA42A5" w:rsidP="00BF4D91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DA42A5" w:rsidRPr="00F16D5C" w:rsidRDefault="00DA42A5" w:rsidP="00BF4D91">
            <w:pPr>
              <w:rPr>
                <w:bCs/>
                <w:sz w:val="24"/>
                <w:szCs w:val="24"/>
                <w:lang w:val="sr-Cyrl-ME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>
              <w:rPr>
                <w:bCs/>
                <w:sz w:val="24"/>
                <w:szCs w:val="24"/>
                <w:lang w:val="sr-Cyrl-ME"/>
              </w:rPr>
              <w:t xml:space="preserve">зборни </w:t>
            </w:r>
          </w:p>
        </w:tc>
      </w:tr>
      <w:tr w:rsidR="00DA42A5" w:rsidRPr="002D43DE" w:rsidTr="00BF4D91">
        <w:trPr>
          <w:trHeight w:val="232"/>
        </w:trPr>
        <w:tc>
          <w:tcPr>
            <w:tcW w:w="2098" w:type="dxa"/>
            <w:gridSpan w:val="2"/>
          </w:tcPr>
          <w:p w:rsidR="00DA42A5" w:rsidRPr="002D43DE" w:rsidRDefault="00DA42A5" w:rsidP="00BF4D91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DA42A5" w:rsidRPr="002D43DE" w:rsidRDefault="00DA42A5" w:rsidP="00BF4D91">
            <w:pPr>
              <w:rPr>
                <w:bCs/>
                <w:sz w:val="24"/>
                <w:szCs w:val="24"/>
                <w:lang w:val="sr-Cyrl-CS"/>
              </w:rPr>
            </w:pPr>
            <w:r w:rsidRPr="00477161">
              <w:rPr>
                <w:bCs/>
                <w:sz w:val="24"/>
                <w:szCs w:val="24"/>
                <w:lang w:val="sr-Cyrl-CS"/>
              </w:rPr>
              <w:t>2+2 (5)</w:t>
            </w:r>
          </w:p>
        </w:tc>
      </w:tr>
      <w:tr w:rsidR="00DA42A5" w:rsidRPr="002D43DE" w:rsidTr="00BF4D91">
        <w:trPr>
          <w:trHeight w:val="232"/>
        </w:trPr>
        <w:tc>
          <w:tcPr>
            <w:tcW w:w="2098" w:type="dxa"/>
            <w:gridSpan w:val="2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DA42A5" w:rsidRPr="002D43DE" w:rsidRDefault="00DA42A5" w:rsidP="00BF4D91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DA42A5" w:rsidRPr="002D43DE" w:rsidTr="00BF4D91">
        <w:tc>
          <w:tcPr>
            <w:tcW w:w="9288" w:type="dxa"/>
            <w:gridSpan w:val="8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77161">
              <w:rPr>
                <w:lang w:val="sl-SI"/>
              </w:rPr>
              <w:t>Циљ предмета је</w:t>
            </w:r>
            <w:r w:rsidRPr="00477161">
              <w:rPr>
                <w:lang w:val="sr-Cyrl-RS"/>
              </w:rPr>
              <w:t xml:space="preserve"> </w:t>
            </w:r>
            <w:r w:rsidRPr="00477161">
              <w:t xml:space="preserve">обнављање постојећег знања општег енглеског језика и </w:t>
            </w:r>
            <w:r w:rsidRPr="00477161">
              <w:rPr>
                <w:lang w:val="sr-Cyrl-CS"/>
              </w:rPr>
              <w:t>развијање свих језичких вештина</w:t>
            </w:r>
            <w:r>
              <w:rPr>
                <w:lang w:val="sr-Cyrl-CS"/>
              </w:rPr>
              <w:t xml:space="preserve"> </w:t>
            </w:r>
            <w:r w:rsidRPr="00477161">
              <w:t xml:space="preserve">и стратегија </w:t>
            </w:r>
            <w:r w:rsidRPr="00477161">
              <w:rPr>
                <w:lang w:val="sr-Cyrl-CS"/>
              </w:rPr>
              <w:t xml:space="preserve">неопходних за успешну </w:t>
            </w:r>
            <w:r w:rsidRPr="00477161">
              <w:t>усмену и писмену</w:t>
            </w:r>
            <w:r w:rsidRPr="00477161">
              <w:rPr>
                <w:lang w:val="sr-Cyrl-RS"/>
              </w:rPr>
              <w:t xml:space="preserve"> </w:t>
            </w:r>
            <w:r w:rsidRPr="00477161">
              <w:t>комуникацију на енглеском језику у пословном окружењу.</w:t>
            </w:r>
          </w:p>
        </w:tc>
      </w:tr>
      <w:tr w:rsidR="00DA42A5" w:rsidRPr="002D43DE" w:rsidTr="00BF4D91">
        <w:tc>
          <w:tcPr>
            <w:tcW w:w="9288" w:type="dxa"/>
            <w:gridSpan w:val="8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77161">
              <w:rPr>
                <w:lang w:val="sr-Cyrl-CS"/>
              </w:rPr>
              <w:t>Након завршетка студијског програма студент је способан да правилно користи расположива језичка средства потребна за представљање свог будућег пословног окружења, себе  и својих интересовања; располаже основним језичким, социолингвистичким и к</w:t>
            </w:r>
            <w:r>
              <w:rPr>
                <w:lang w:val="sr-Cyrl-CS"/>
              </w:rPr>
              <w:t>ултуролошким знањем неопходним з</w:t>
            </w:r>
            <w:r w:rsidRPr="00477161">
              <w:rPr>
                <w:lang w:val="sr-Cyrl-CS"/>
              </w:rPr>
              <w:t>а успешан пословни контакт у ситуацијама као што су успостављање контакта са пословним партнером, састанци, преговори и дружење ван пословног окружења; у могућности је да разуме основне идеје аутентич</w:t>
            </w:r>
            <w:r>
              <w:rPr>
                <w:lang w:val="sr-Cyrl-CS"/>
              </w:rPr>
              <w:t>них текстова из области пословањ</w:t>
            </w:r>
            <w:r w:rsidRPr="00477161">
              <w:rPr>
                <w:lang w:val="sr-Cyrl-CS"/>
              </w:rPr>
              <w:t>а из новина и са интернета; у стању је да састави кратак имејл</w:t>
            </w:r>
            <w:r w:rsidRPr="00477161">
              <w:t xml:space="preserve">, </w:t>
            </w:r>
            <w:r w:rsidRPr="00477161">
              <w:rPr>
                <w:lang w:val="sr-Cyrl-CS"/>
              </w:rPr>
              <w:t>пословно писмо</w:t>
            </w:r>
            <w:r w:rsidRPr="00477161">
              <w:t xml:space="preserve"> </w:t>
            </w:r>
            <w:r w:rsidRPr="00477161">
              <w:rPr>
                <w:lang w:val="sr-Cyrl-RS"/>
              </w:rPr>
              <w:t>и биографију</w:t>
            </w:r>
            <w:r w:rsidRPr="00477161">
              <w:rPr>
                <w:lang w:val="sr-Cyrl-CS"/>
              </w:rPr>
              <w:t>; поседује знање о стратегијама које омогућавају несметану комуникацију; служи се речницима у штампаном  и електронском</w:t>
            </w:r>
            <w:r>
              <w:rPr>
                <w:lang w:val="sr-Cyrl-CS"/>
              </w:rPr>
              <w:t xml:space="preserve"> </w:t>
            </w:r>
            <w:r w:rsidRPr="00477161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о</w:t>
            </w:r>
            <w:r w:rsidRPr="00477161">
              <w:rPr>
                <w:lang w:val="sr-Cyrl-CS"/>
              </w:rPr>
              <w:t>блику.</w:t>
            </w:r>
          </w:p>
        </w:tc>
      </w:tr>
      <w:tr w:rsidR="00DA42A5" w:rsidRPr="002D43DE" w:rsidTr="00BF4D91">
        <w:tc>
          <w:tcPr>
            <w:tcW w:w="9288" w:type="dxa"/>
            <w:gridSpan w:val="8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A42A5" w:rsidRPr="00477161" w:rsidRDefault="00DA42A5" w:rsidP="00BF4D91">
            <w:pPr>
              <w:jc w:val="both"/>
              <w:rPr>
                <w:i/>
                <w:iCs/>
                <w:lang w:val="sr-Cyrl-CS"/>
              </w:rPr>
            </w:pPr>
            <w:r w:rsidRPr="00477161">
              <w:rPr>
                <w:i/>
                <w:iCs/>
                <w:lang w:val="sr-Cyrl-CS"/>
              </w:rPr>
              <w:t>Теоријска настава</w:t>
            </w:r>
          </w:p>
          <w:p w:rsidR="00DA42A5" w:rsidRPr="00477161" w:rsidRDefault="00DA42A5" w:rsidP="00BF4D91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Теме:</w:t>
            </w:r>
            <w:r w:rsidRPr="00477161">
              <w:rPr>
                <w:lang w:val="sr-Cyrl-CS"/>
              </w:rPr>
              <w:t xml:space="preserve"> Врсте послова у компанијама, проблеми на радном месту, путовања, куповина и продаја производа, започињањ</w:t>
            </w:r>
            <w:r>
              <w:rPr>
                <w:lang w:val="sr-Cyrl-CS"/>
              </w:rPr>
              <w:t>е предузетничког подухвата, тај</w:t>
            </w:r>
            <w:r w:rsidRPr="00477161">
              <w:rPr>
                <w:lang w:val="sr-Cyrl-CS"/>
              </w:rPr>
              <w:t>н</w:t>
            </w:r>
            <w:r>
              <w:rPr>
                <w:lang w:val="sr-Cyrl-CS"/>
              </w:rPr>
              <w:t>а усп</w:t>
            </w:r>
            <w:r w:rsidRPr="00477161">
              <w:rPr>
                <w:lang w:val="sr-Cyrl-CS"/>
              </w:rPr>
              <w:t>ешног пословања, понашање у фирми, у ресторану. Семантичке формуле</w:t>
            </w:r>
            <w:r>
              <w:rPr>
                <w:lang w:val="sr-Cyrl-CS"/>
              </w:rPr>
              <w:t xml:space="preserve"> </w:t>
            </w:r>
            <w:r w:rsidRPr="00477161">
              <w:rPr>
                <w:lang w:val="sr-Cyrl-CS"/>
              </w:rPr>
              <w:t>за остваривање говорних чинова који се јављају при</w:t>
            </w:r>
            <w:r>
              <w:rPr>
                <w:lang w:val="sr-Cyrl-CS"/>
              </w:rPr>
              <w:t xml:space="preserve"> </w:t>
            </w:r>
            <w:r w:rsidRPr="00477161">
              <w:rPr>
                <w:lang w:val="sr-Cyrl-CS"/>
              </w:rPr>
              <w:t>успостављању контакта (телефоном), упознавање, дружењу ван радног места, резервацијама путовања,</w:t>
            </w:r>
            <w:r>
              <w:rPr>
                <w:lang w:val="sr-Cyrl-CS"/>
              </w:rPr>
              <w:t xml:space="preserve"> </w:t>
            </w:r>
            <w:r w:rsidRPr="00477161">
              <w:rPr>
                <w:lang w:val="sr-Cyrl-CS"/>
              </w:rPr>
              <w:t>разговору за посао, разрешавању проблема на рад</w:t>
            </w:r>
            <w:r>
              <w:rPr>
                <w:lang w:val="sr-Cyrl-CS"/>
              </w:rPr>
              <w:t>н</w:t>
            </w:r>
            <w:r w:rsidRPr="00477161">
              <w:rPr>
                <w:lang w:val="sr-Cyrl-CS"/>
              </w:rPr>
              <w:t>ом месту, на састанцима.  Граматика: садашњи и прошли прости и трајни облик глагола, модални глаголи, упитне реченице, бројиве и небројиве именице, поређење придева, изражавање будућих радњи.</w:t>
            </w:r>
          </w:p>
          <w:p w:rsidR="00DA42A5" w:rsidRPr="00477161" w:rsidRDefault="00DA42A5" w:rsidP="00BF4D91">
            <w:pPr>
              <w:jc w:val="both"/>
              <w:rPr>
                <w:lang w:val="sr-Cyrl-CS"/>
              </w:rPr>
            </w:pPr>
            <w:r w:rsidRPr="00477161">
              <w:rPr>
                <w:lang w:val="sr-Cyrl-CS"/>
              </w:rPr>
              <w:t xml:space="preserve">Писање имејлова, пословног писма, кратких описа производа и услуга и записника са састанка, </w:t>
            </w:r>
            <w:r w:rsidRPr="00477161">
              <w:rPr>
                <w:lang w:val="sr-Cyrl-RS"/>
              </w:rPr>
              <w:t>биографија</w:t>
            </w:r>
            <w:r w:rsidRPr="00477161">
              <w:rPr>
                <w:lang w:val="sr-Cyrl-CS"/>
              </w:rPr>
              <w:t>.</w:t>
            </w:r>
          </w:p>
          <w:p w:rsidR="00DA42A5" w:rsidRPr="00477161" w:rsidRDefault="00DA42A5" w:rsidP="00BF4D91">
            <w:pPr>
              <w:jc w:val="both"/>
              <w:rPr>
                <w:lang w:val="sr-Cyrl-CS"/>
              </w:rPr>
            </w:pPr>
          </w:p>
          <w:p w:rsidR="00DA42A5" w:rsidRPr="00477161" w:rsidRDefault="00DA42A5" w:rsidP="00BF4D91">
            <w:pPr>
              <w:rPr>
                <w:i/>
                <w:lang w:val="sr-Cyrl-CS"/>
              </w:rPr>
            </w:pPr>
            <w:r w:rsidRPr="00477161">
              <w:rPr>
                <w:i/>
                <w:lang w:val="sr-Cyrl-CS"/>
              </w:rPr>
              <w:t>Практична настава:</w:t>
            </w:r>
          </w:p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477161">
              <w:rPr>
                <w:lang w:val="sr-Cyrl-CS"/>
              </w:rPr>
              <w:t>Анализа случаја, симулација говорних ситуација</w:t>
            </w:r>
          </w:p>
        </w:tc>
      </w:tr>
      <w:tr w:rsidR="00DA42A5" w:rsidRPr="002D43DE" w:rsidTr="00BF4D91">
        <w:tc>
          <w:tcPr>
            <w:tcW w:w="9288" w:type="dxa"/>
            <w:gridSpan w:val="8"/>
          </w:tcPr>
          <w:p w:rsidR="00DA42A5" w:rsidRPr="002D43DE" w:rsidRDefault="00DA42A5" w:rsidP="00BF4D91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DA42A5" w:rsidRPr="002D43DE" w:rsidTr="00BF4D91"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DA42A5" w:rsidRPr="002D43DE" w:rsidRDefault="00DA42A5" w:rsidP="00BF4D91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DA42A5" w:rsidRPr="002D43DE" w:rsidTr="00BF4D91">
        <w:trPr>
          <w:trHeight w:val="251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DA42A5" w:rsidRPr="00F16D5C" w:rsidRDefault="00DA42A5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Unit 1 </w:t>
            </w:r>
            <w:r w:rsidRPr="00584235">
              <w:rPr>
                <w:bCs/>
                <w:sz w:val="24"/>
                <w:szCs w:val="24"/>
                <w:lang w:val="en-US"/>
              </w:rPr>
              <w:t xml:space="preserve">– </w:t>
            </w:r>
            <w:r w:rsidRPr="00584235">
              <w:rPr>
                <w:b/>
                <w:bCs/>
                <w:sz w:val="24"/>
                <w:szCs w:val="24"/>
                <w:lang w:val="en-US"/>
              </w:rPr>
              <w:t>Introductions</w:t>
            </w:r>
            <w:r w:rsidR="00C4116D">
              <w:rPr>
                <w:bCs/>
                <w:sz w:val="24"/>
                <w:szCs w:val="24"/>
                <w:lang w:val="en-US"/>
              </w:rPr>
              <w:t>: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84235">
              <w:rPr>
                <w:bCs/>
                <w:sz w:val="24"/>
                <w:szCs w:val="24"/>
                <w:lang w:val="en-US"/>
              </w:rPr>
              <w:t>Language work – Nationalities,</w:t>
            </w:r>
            <w:r>
              <w:rPr>
                <w:bCs/>
                <w:sz w:val="24"/>
                <w:szCs w:val="24"/>
                <w:lang w:val="en-US"/>
              </w:rPr>
              <w:t xml:space="preserve"> to be, a/an with jobs,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W</w:t>
            </w:r>
            <w:r w:rsidRPr="00584235">
              <w:rPr>
                <w:bCs/>
                <w:sz w:val="24"/>
                <w:szCs w:val="24"/>
                <w:lang w:val="en-US"/>
              </w:rPr>
              <w:t>h</w:t>
            </w:r>
            <w:proofErr w:type="spellEnd"/>
            <w:r w:rsidRPr="00584235">
              <w:rPr>
                <w:bCs/>
                <w:sz w:val="24"/>
                <w:szCs w:val="24"/>
                <w:lang w:val="en-US"/>
              </w:rPr>
              <w:t>-questions; Skills – Introducing yourself and others, Case study: A job fair in Singapore: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84235">
              <w:rPr>
                <w:bCs/>
                <w:sz w:val="24"/>
                <w:szCs w:val="24"/>
                <w:lang w:val="en-US"/>
              </w:rPr>
              <w:t>Decide on the successful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84235">
              <w:rPr>
                <w:bCs/>
                <w:sz w:val="24"/>
                <w:szCs w:val="24"/>
                <w:lang w:val="en-US"/>
              </w:rPr>
              <w:t>candidate for a job</w:t>
            </w:r>
            <w:r>
              <w:rPr>
                <w:bCs/>
                <w:sz w:val="24"/>
                <w:szCs w:val="24"/>
                <w:lang w:val="en-US"/>
              </w:rPr>
              <w:t xml:space="preserve"> / Writing: e-mail </w:t>
            </w:r>
            <w:r>
              <w:rPr>
                <w:b/>
                <w:bCs/>
                <w:sz w:val="24"/>
                <w:szCs w:val="24"/>
                <w:lang w:val="en-US"/>
              </w:rPr>
              <w:t xml:space="preserve">     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DA42A5" w:rsidRPr="002D43DE" w:rsidRDefault="00DA42A5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Unit 2 – Work and leisure</w:t>
            </w:r>
            <w:r w:rsidR="00C4116D">
              <w:rPr>
                <w:bCs/>
                <w:sz w:val="24"/>
                <w:szCs w:val="24"/>
                <w:lang w:val="sr-Latn-RS"/>
              </w:rPr>
              <w:t>: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584235">
              <w:rPr>
                <w:bCs/>
                <w:sz w:val="24"/>
                <w:szCs w:val="24"/>
                <w:lang w:val="sr-Latn-RS"/>
              </w:rPr>
              <w:t>Language work</w:t>
            </w:r>
            <w:r w:rsidRPr="00584235">
              <w:rPr>
                <w:b/>
                <w:bCs/>
                <w:sz w:val="24"/>
                <w:szCs w:val="24"/>
                <w:lang w:val="sr-Latn-RS"/>
              </w:rPr>
              <w:t xml:space="preserve"> –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584235">
              <w:rPr>
                <w:bCs/>
                <w:sz w:val="24"/>
                <w:szCs w:val="24"/>
                <w:lang w:val="sr-Latn-RS"/>
              </w:rPr>
              <w:t>Days, months, dates</w:t>
            </w:r>
            <w:r>
              <w:rPr>
                <w:bCs/>
                <w:sz w:val="24"/>
                <w:szCs w:val="24"/>
                <w:lang w:val="sr-Latn-RS"/>
              </w:rPr>
              <w:t>; Leisure activities; Present Simple; Adverbs and expressions of frequency; Skills – Talking about work and leisure;</w:t>
            </w:r>
            <w:r>
              <w:t xml:space="preserve"> </w:t>
            </w:r>
            <w:r w:rsidRPr="00504159">
              <w:rPr>
                <w:bCs/>
                <w:sz w:val="24"/>
                <w:szCs w:val="24"/>
                <w:lang w:val="sr-Latn-RS"/>
              </w:rPr>
              <w:t>Case study:</w:t>
            </w:r>
            <w:r>
              <w:rPr>
                <w:bCs/>
                <w:sz w:val="24"/>
                <w:szCs w:val="24"/>
                <w:lang w:val="sr-Latn-RS"/>
              </w:rPr>
              <w:t xml:space="preserve"> Hudson Design Inc.: Resolve issues with unhappy staff / Writing: e-mail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3.</w:t>
            </w:r>
          </w:p>
        </w:tc>
        <w:tc>
          <w:tcPr>
            <w:tcW w:w="8329" w:type="dxa"/>
            <w:gridSpan w:val="7"/>
          </w:tcPr>
          <w:p w:rsidR="00DA42A5" w:rsidRPr="00504159" w:rsidRDefault="00DA42A5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Unit 3 – Problems</w:t>
            </w:r>
            <w:r w:rsidR="00C4116D" w:rsidRPr="00C4116D">
              <w:rPr>
                <w:b/>
                <w:bCs/>
                <w:sz w:val="24"/>
                <w:szCs w:val="24"/>
                <w:lang w:val="sr-Latn-RS"/>
              </w:rPr>
              <w:t>: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Pr="00584235">
              <w:rPr>
                <w:bCs/>
                <w:sz w:val="24"/>
                <w:szCs w:val="24"/>
                <w:lang w:val="sr-Latn-RS"/>
              </w:rPr>
              <w:t>Language work</w:t>
            </w:r>
            <w:r w:rsidRPr="00584235">
              <w:rPr>
                <w:b/>
                <w:bCs/>
                <w:sz w:val="24"/>
                <w:szCs w:val="24"/>
                <w:lang w:val="sr-Latn-RS"/>
              </w:rPr>
              <w:t xml:space="preserve"> –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504159">
              <w:rPr>
                <w:bCs/>
                <w:sz w:val="24"/>
                <w:szCs w:val="24"/>
                <w:lang w:val="sr-Latn-RS"/>
              </w:rPr>
              <w:t>Adjectives,</w:t>
            </w:r>
            <w:r>
              <w:rPr>
                <w:b/>
                <w:bCs/>
                <w:sz w:val="24"/>
                <w:szCs w:val="24"/>
                <w:lang w:val="sr-Latn-RS"/>
              </w:rPr>
              <w:t xml:space="preserve"> </w:t>
            </w:r>
            <w:r w:rsidRPr="00504159">
              <w:rPr>
                <w:bCs/>
                <w:i/>
                <w:sz w:val="24"/>
                <w:szCs w:val="24"/>
                <w:lang w:val="sr-Latn-RS"/>
              </w:rPr>
              <w:t>too/enough</w:t>
            </w:r>
            <w:r>
              <w:rPr>
                <w:bCs/>
                <w:sz w:val="24"/>
                <w:szCs w:val="24"/>
                <w:lang w:val="sr-Latn-RS"/>
              </w:rPr>
              <w:t xml:space="preserve">, Present Simple: negatives and questions, </w:t>
            </w:r>
            <w:r w:rsidRPr="00504159">
              <w:rPr>
                <w:bCs/>
                <w:i/>
                <w:sz w:val="24"/>
                <w:szCs w:val="24"/>
                <w:lang w:val="sr-Latn-RS"/>
              </w:rPr>
              <w:t>have</w:t>
            </w:r>
            <w:r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Pr="00504159">
              <w:rPr>
                <w:bCs/>
                <w:i/>
                <w:sz w:val="24"/>
                <w:szCs w:val="24"/>
                <w:lang w:val="sr-Latn-RS"/>
              </w:rPr>
              <w:t>some</w:t>
            </w:r>
            <w:r>
              <w:rPr>
                <w:bCs/>
                <w:sz w:val="24"/>
                <w:szCs w:val="24"/>
                <w:lang w:val="sr-Latn-RS"/>
              </w:rPr>
              <w:t xml:space="preserve"> and </w:t>
            </w:r>
            <w:r w:rsidRPr="00504159">
              <w:rPr>
                <w:bCs/>
                <w:i/>
                <w:sz w:val="24"/>
                <w:szCs w:val="24"/>
                <w:lang w:val="sr-Latn-RS"/>
              </w:rPr>
              <w:t>any</w:t>
            </w:r>
            <w:r>
              <w:rPr>
                <w:bCs/>
                <w:sz w:val="24"/>
                <w:szCs w:val="24"/>
                <w:lang w:val="sr-Latn-RS"/>
              </w:rPr>
              <w:t xml:space="preserve">; </w:t>
            </w:r>
            <w:r w:rsidRPr="00E931EF">
              <w:rPr>
                <w:bCs/>
                <w:sz w:val="24"/>
                <w:szCs w:val="24"/>
                <w:lang w:val="sr-Latn-RS"/>
              </w:rPr>
              <w:t>Skills –</w:t>
            </w:r>
            <w:r>
              <w:rPr>
                <w:bCs/>
                <w:sz w:val="24"/>
                <w:szCs w:val="24"/>
                <w:lang w:val="sr-Latn-RS"/>
              </w:rPr>
              <w:t xml:space="preserve"> Telephoning: solving problems; Case study: High-Style Business Rentals: Respond to negative customer feedback / Writing: e-mail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DA42A5" w:rsidRPr="002D43DE" w:rsidRDefault="00DA42A5" w:rsidP="00636743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8"/>
                <w:szCs w:val="24"/>
                <w:lang w:val="sr-Latn-RS"/>
              </w:rPr>
              <w:t>REVISION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DA42A5" w:rsidRPr="00F13453" w:rsidRDefault="00F13453" w:rsidP="00BF4D9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Unit 4 – Travel</w:t>
            </w:r>
            <w:r w:rsidRPr="00C4116D">
              <w:rPr>
                <w:b/>
                <w:bCs/>
                <w:sz w:val="24"/>
                <w:szCs w:val="24"/>
                <w:lang w:val="sr-Latn-RS"/>
              </w:rPr>
              <w:t>: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  <w:r w:rsidRPr="00F13453">
              <w:rPr>
                <w:bCs/>
                <w:sz w:val="24"/>
                <w:szCs w:val="24"/>
                <w:lang w:val="sr-Latn-RS"/>
              </w:rPr>
              <w:t>Language work –</w:t>
            </w:r>
            <w:r>
              <w:rPr>
                <w:bCs/>
                <w:sz w:val="24"/>
                <w:szCs w:val="24"/>
                <w:lang w:val="sr-Latn-RS"/>
              </w:rPr>
              <w:t xml:space="preserve"> Travel details; </w:t>
            </w:r>
            <w:r w:rsidRPr="00F13453">
              <w:rPr>
                <w:bCs/>
                <w:i/>
                <w:sz w:val="24"/>
                <w:szCs w:val="24"/>
                <w:lang w:val="sr-Latn-RS"/>
              </w:rPr>
              <w:t>can/can’t</w:t>
            </w:r>
            <w:r>
              <w:rPr>
                <w:bCs/>
                <w:sz w:val="24"/>
                <w:szCs w:val="24"/>
                <w:lang w:val="sr-Latn-RS"/>
              </w:rPr>
              <w:t>, there is/there</w:t>
            </w:r>
            <w:r w:rsidR="003B3C21">
              <w:rPr>
                <w:bCs/>
                <w:sz w:val="24"/>
                <w:szCs w:val="24"/>
                <w:lang w:val="sr-Latn-RS"/>
              </w:rPr>
              <w:t xml:space="preserve"> are; Skills – Making bookings and checking arrangements; Case study: The Gustav Conference Centre: Coordinate the needs of three different companies / Writing: e-mail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DA42A5" w:rsidRPr="003A0114" w:rsidRDefault="003A0114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Unit 5 – Food and entertaining</w:t>
            </w:r>
            <w:r w:rsidRPr="00C4116D">
              <w:rPr>
                <w:b/>
                <w:bCs/>
                <w:sz w:val="24"/>
                <w:szCs w:val="24"/>
                <w:lang w:val="sr-Latn-RS"/>
              </w:rPr>
              <w:t>:</w:t>
            </w:r>
            <w:r>
              <w:t xml:space="preserve"> </w:t>
            </w:r>
            <w:r w:rsidRPr="003A0114">
              <w:rPr>
                <w:bCs/>
                <w:sz w:val="24"/>
                <w:szCs w:val="24"/>
                <w:lang w:val="sr-Latn-RS"/>
              </w:rPr>
              <w:t xml:space="preserve">Language work – </w:t>
            </w:r>
            <w:r>
              <w:rPr>
                <w:bCs/>
                <w:sz w:val="24"/>
                <w:szCs w:val="24"/>
                <w:lang w:val="sr-Latn-RS"/>
              </w:rPr>
              <w:t xml:space="preserve">Eating out; </w:t>
            </w:r>
            <w:r w:rsidRPr="003A0114">
              <w:rPr>
                <w:bCs/>
                <w:i/>
                <w:sz w:val="24"/>
                <w:szCs w:val="24"/>
                <w:lang w:val="sr-Latn-RS"/>
              </w:rPr>
              <w:t>some/any</w:t>
            </w:r>
            <w:r>
              <w:rPr>
                <w:bCs/>
                <w:sz w:val="24"/>
                <w:szCs w:val="24"/>
                <w:lang w:val="sr-Latn-RS"/>
              </w:rPr>
              <w:t>, Countable and uncountable nouns; Skills – Making decisions; Case study: Which restaurant? Choose the right place to eat for some important clients / Writing: e-mail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DA42A5" w:rsidRPr="002D43DE" w:rsidRDefault="003A0114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Unit 6 – Buying and selling: </w:t>
            </w:r>
            <w:r w:rsidRPr="003A0114">
              <w:rPr>
                <w:bCs/>
                <w:sz w:val="24"/>
                <w:szCs w:val="24"/>
                <w:lang w:val="sr-Latn-RS"/>
              </w:rPr>
              <w:t>Language work</w:t>
            </w:r>
            <w:r>
              <w:rPr>
                <w:bCs/>
                <w:sz w:val="24"/>
                <w:szCs w:val="24"/>
                <w:lang w:val="sr-Latn-RS"/>
              </w:rPr>
              <w:t xml:space="preserve"> – Choosing a product, </w:t>
            </w:r>
            <w:r w:rsidR="00FE454A">
              <w:rPr>
                <w:bCs/>
                <w:sz w:val="24"/>
                <w:szCs w:val="24"/>
                <w:lang w:val="sr-Latn-RS"/>
              </w:rPr>
              <w:t>Choosing a service, Past Simple, Past time references; Skills – Desribing a product; Case study: NP Innovations: Decide on a new product / Writing: e-mail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8329" w:type="dxa"/>
            <w:gridSpan w:val="7"/>
          </w:tcPr>
          <w:p w:rsidR="00DA42A5" w:rsidRPr="002D43DE" w:rsidRDefault="00FE454A" w:rsidP="00FE454A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REVISION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DA42A5" w:rsidRPr="002D43DE" w:rsidRDefault="00FE454A" w:rsidP="00BF4D91">
            <w:pPr>
              <w:tabs>
                <w:tab w:val="left" w:pos="2629"/>
              </w:tabs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Unit 7 – People: </w:t>
            </w:r>
            <w:r w:rsidRPr="003A0114">
              <w:rPr>
                <w:bCs/>
                <w:sz w:val="24"/>
                <w:szCs w:val="24"/>
                <w:lang w:val="sr-Latn-RS"/>
              </w:rPr>
              <w:t>Language work</w:t>
            </w:r>
            <w:r>
              <w:rPr>
                <w:bCs/>
                <w:sz w:val="24"/>
                <w:szCs w:val="24"/>
                <w:lang w:val="sr-Latn-RS"/>
              </w:rPr>
              <w:t xml:space="preserve"> –</w:t>
            </w:r>
            <w:r>
              <w:rPr>
                <w:bCs/>
                <w:sz w:val="24"/>
                <w:szCs w:val="24"/>
                <w:lang w:val="sr-Latn-RS"/>
              </w:rPr>
              <w:t xml:space="preserve"> Describing people, Past simple</w:t>
            </w:r>
            <w:r w:rsidR="00AA1DAD">
              <w:rPr>
                <w:bCs/>
                <w:sz w:val="24"/>
                <w:szCs w:val="24"/>
                <w:lang w:val="sr-Latn-RS"/>
              </w:rPr>
              <w:t xml:space="preserve">: negatives and questions, Question forms; Skills – Dealing with problems; Case study: Tell us about it: Give advice on problems at work / Writing: reply to a problem message 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DA42A5" w:rsidRPr="00AA1DAD" w:rsidRDefault="00AA1DAD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Unit 8 – Advertising: </w:t>
            </w:r>
            <w:r w:rsidRPr="00AA1DAD">
              <w:rPr>
                <w:bCs/>
                <w:sz w:val="24"/>
                <w:szCs w:val="24"/>
                <w:lang w:val="en-US"/>
              </w:rPr>
              <w:t>Language work –</w:t>
            </w:r>
            <w:r>
              <w:rPr>
                <w:bCs/>
                <w:sz w:val="24"/>
                <w:szCs w:val="24"/>
                <w:lang w:val="en-US"/>
              </w:rPr>
              <w:t xml:space="preserve"> Advertising and markets, Comparatives and superlatives, much/</w:t>
            </w:r>
            <w:r w:rsidR="00CE1678">
              <w:rPr>
                <w:bCs/>
                <w:sz w:val="24"/>
                <w:szCs w:val="24"/>
                <w:lang w:val="en-US"/>
              </w:rPr>
              <w:t xml:space="preserve"> a lot, a little / a bit; Skills – Participating in discussions; </w:t>
            </w:r>
            <w:r w:rsidR="00CE1678" w:rsidRPr="00CE1678">
              <w:rPr>
                <w:bCs/>
                <w:sz w:val="24"/>
                <w:szCs w:val="24"/>
                <w:lang w:val="en-US"/>
              </w:rPr>
              <w:t xml:space="preserve">Case study: </w:t>
            </w:r>
            <w:r w:rsidR="00CE1678">
              <w:rPr>
                <w:bCs/>
                <w:sz w:val="24"/>
                <w:szCs w:val="24"/>
                <w:lang w:val="en-US"/>
              </w:rPr>
              <w:t xml:space="preserve">Excelsior Chocolate, Products: Devise an advertising campaign / Writing: product launch plan  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DA42A5" w:rsidRPr="002D43DE" w:rsidRDefault="00CE1678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Unit 9 – Companies: </w:t>
            </w:r>
            <w:r w:rsidRPr="00CE1678">
              <w:rPr>
                <w:bCs/>
                <w:sz w:val="24"/>
                <w:szCs w:val="24"/>
                <w:lang w:val="sr-Latn-RS"/>
              </w:rPr>
              <w:t xml:space="preserve">Language work </w:t>
            </w:r>
            <w:r>
              <w:rPr>
                <w:bCs/>
                <w:sz w:val="24"/>
                <w:szCs w:val="24"/>
                <w:lang w:val="sr-Latn-RS"/>
              </w:rPr>
              <w:t xml:space="preserve">– Describing companies, Present Continuous, Present Simple or present continuous; </w:t>
            </w:r>
            <w:r w:rsidR="00C4116D">
              <w:rPr>
                <w:bCs/>
                <w:sz w:val="24"/>
                <w:szCs w:val="24"/>
                <w:lang w:val="sr-Latn-RS"/>
              </w:rPr>
              <w:t xml:space="preserve">Skills – Starting a presentation; Case study: Presenting your company: Prepare a short presentation / Writing: company profile </w:t>
            </w:r>
            <w:r>
              <w:rPr>
                <w:bCs/>
                <w:sz w:val="24"/>
                <w:szCs w:val="24"/>
                <w:lang w:val="sr-Latn-RS"/>
              </w:rPr>
              <w:t xml:space="preserve"> 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DA42A5" w:rsidRPr="002D43DE" w:rsidRDefault="00C4116D" w:rsidP="00C4116D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>REVISION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DA42A5" w:rsidRPr="00C4116D" w:rsidRDefault="00C4116D" w:rsidP="00BF4D91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Unit 10 – Communication: </w:t>
            </w:r>
            <w:r w:rsidRPr="00CE1678">
              <w:rPr>
                <w:bCs/>
                <w:sz w:val="24"/>
                <w:szCs w:val="24"/>
                <w:lang w:val="sr-Latn-RS"/>
              </w:rPr>
              <w:t xml:space="preserve">Language work </w:t>
            </w:r>
            <w:r>
              <w:rPr>
                <w:bCs/>
                <w:sz w:val="24"/>
                <w:szCs w:val="24"/>
                <w:lang w:val="sr-Latn-RS"/>
              </w:rPr>
              <w:t>–</w:t>
            </w:r>
            <w:r>
              <w:rPr>
                <w:bCs/>
                <w:sz w:val="24"/>
                <w:szCs w:val="24"/>
                <w:lang w:val="sr-Latn-RS"/>
              </w:rPr>
              <w:t xml:space="preserve"> Internal communication, Talking about future plans, </w:t>
            </w:r>
            <w:r w:rsidRPr="00C4116D">
              <w:rPr>
                <w:bCs/>
                <w:i/>
                <w:sz w:val="24"/>
                <w:szCs w:val="24"/>
                <w:lang w:val="sr-Latn-RS"/>
              </w:rPr>
              <w:t>will</w:t>
            </w:r>
            <w:r w:rsidR="00B5289A">
              <w:rPr>
                <w:bCs/>
                <w:sz w:val="24"/>
                <w:szCs w:val="24"/>
                <w:lang w:val="sr-Latn-RS"/>
              </w:rPr>
              <w:t xml:space="preserve">; </w:t>
            </w:r>
            <w:r w:rsidR="00B5289A" w:rsidRPr="00B5289A">
              <w:rPr>
                <w:bCs/>
                <w:sz w:val="24"/>
                <w:szCs w:val="24"/>
                <w:lang w:val="sr-Latn-RS"/>
              </w:rPr>
              <w:t>Skills –</w:t>
            </w:r>
            <w:r w:rsidR="00B5289A">
              <w:rPr>
                <w:bCs/>
                <w:sz w:val="24"/>
                <w:szCs w:val="24"/>
                <w:lang w:val="sr-Latn-RS"/>
              </w:rPr>
              <w:t xml:space="preserve"> Making arrangements; Case study: Blakelock Engineering: Decide who should leave a company / Writing: e-mail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DA42A5" w:rsidRPr="00B5289A" w:rsidRDefault="00B5289A" w:rsidP="00BF4D9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Unit 11 – Cultures: </w:t>
            </w:r>
            <w:r w:rsidRPr="00B55D59">
              <w:rPr>
                <w:bCs/>
                <w:sz w:val="24"/>
                <w:szCs w:val="24"/>
                <w:lang w:val="sr-Latn-RS"/>
              </w:rPr>
              <w:t>Language work –</w:t>
            </w:r>
            <w:r w:rsidR="00B55D59">
              <w:rPr>
                <w:bCs/>
                <w:sz w:val="24"/>
                <w:szCs w:val="24"/>
                <w:lang w:val="sr-Latn-RS"/>
              </w:rPr>
              <w:t xml:space="preserve"> Company cultures, </w:t>
            </w:r>
            <w:r w:rsidR="00B55D59" w:rsidRPr="00B55D59">
              <w:rPr>
                <w:bCs/>
                <w:i/>
                <w:sz w:val="24"/>
                <w:szCs w:val="24"/>
                <w:lang w:val="sr-Latn-RS"/>
              </w:rPr>
              <w:t>should/shouldn’t</w:t>
            </w:r>
            <w:r w:rsidR="00B55D59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B55D59">
              <w:rPr>
                <w:bCs/>
                <w:i/>
                <w:sz w:val="24"/>
                <w:szCs w:val="24"/>
                <w:lang w:val="sr-Latn-RS"/>
              </w:rPr>
              <w:t>could/would</w:t>
            </w:r>
            <w:r w:rsidR="00B55D59" w:rsidRPr="00B55D59">
              <w:rPr>
                <w:bCs/>
                <w:sz w:val="24"/>
                <w:szCs w:val="24"/>
                <w:lang w:val="sr-Latn-RS"/>
              </w:rPr>
              <w:t xml:space="preserve">; </w:t>
            </w:r>
            <w:r w:rsidR="00B55D59">
              <w:rPr>
                <w:bCs/>
                <w:sz w:val="24"/>
                <w:szCs w:val="24"/>
                <w:lang w:val="sr-Latn-RS"/>
              </w:rPr>
              <w:t>Skills: Identifying problems and agreeing action</w:t>
            </w:r>
            <w:r w:rsidR="00EE0481">
              <w:rPr>
                <w:bCs/>
                <w:sz w:val="24"/>
                <w:szCs w:val="24"/>
                <w:lang w:val="sr-Latn-RS"/>
              </w:rPr>
              <w:t xml:space="preserve">; Case study: The wind of change: Assess ideas for changing a company culture / Writing: action minutes </w:t>
            </w:r>
          </w:p>
        </w:tc>
      </w:tr>
      <w:tr w:rsidR="00DA42A5" w:rsidRPr="002D43DE" w:rsidTr="00BF4D91">
        <w:trPr>
          <w:trHeight w:val="238"/>
        </w:trPr>
        <w:tc>
          <w:tcPr>
            <w:tcW w:w="959" w:type="dxa"/>
          </w:tcPr>
          <w:p w:rsidR="00DA42A5" w:rsidRPr="002D43DE" w:rsidRDefault="00DA42A5" w:rsidP="00BF4D91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DA42A5" w:rsidRPr="00EE0481" w:rsidRDefault="00EE0481" w:rsidP="00BF4D91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/>
                <w:bCs/>
                <w:sz w:val="24"/>
                <w:szCs w:val="24"/>
                <w:lang w:val="sr-Latn-RS"/>
              </w:rPr>
              <w:t xml:space="preserve">Unit 12 – Jobs: </w:t>
            </w:r>
            <w:r>
              <w:rPr>
                <w:bCs/>
                <w:sz w:val="24"/>
                <w:szCs w:val="24"/>
                <w:lang w:val="sr-Latn-RS"/>
              </w:rPr>
              <w:t xml:space="preserve">Language work </w:t>
            </w:r>
            <w:r w:rsidR="00836998">
              <w:rPr>
                <w:bCs/>
                <w:sz w:val="24"/>
                <w:szCs w:val="24"/>
                <w:lang w:val="sr-Latn-RS"/>
              </w:rPr>
              <w:t xml:space="preserve">– Skills and abilities; Present perfect, Past simple and present perfect; Skills – Interview skills; Case study: Nelson&amp;Harper Inc.: Interview candidates for a job / Writing: letter </w:t>
            </w:r>
            <w:bookmarkStart w:id="1" w:name="_GoBack"/>
            <w:bookmarkEnd w:id="1"/>
          </w:p>
        </w:tc>
      </w:tr>
      <w:tr w:rsidR="00DA42A5" w:rsidRPr="002D43DE" w:rsidTr="00BF4D91">
        <w:tc>
          <w:tcPr>
            <w:tcW w:w="9288" w:type="dxa"/>
            <w:gridSpan w:val="8"/>
          </w:tcPr>
          <w:p w:rsidR="00DA42A5" w:rsidRPr="002D43DE" w:rsidRDefault="00DA42A5" w:rsidP="00BF4D91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DA42A5" w:rsidRPr="00442B08" w:rsidRDefault="00DA42A5" w:rsidP="00BF4D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442B08">
              <w:rPr>
                <w:sz w:val="24"/>
                <w:szCs w:val="24"/>
                <w:lang w:val="sr-Latn-RS"/>
              </w:rPr>
              <w:t>Cotton, D., Faley, D. &amp; Kent, S. (2012). Market Leader Elementary Business English</w:t>
            </w:r>
            <w:r>
              <w:rPr>
                <w:sz w:val="24"/>
                <w:szCs w:val="24"/>
                <w:lang w:val="sr-Latn-RS"/>
              </w:rPr>
              <w:t xml:space="preserve"> Course Book. UK: Pearson Longm</w:t>
            </w:r>
            <w:r w:rsidRPr="00442B08">
              <w:rPr>
                <w:sz w:val="24"/>
                <w:szCs w:val="24"/>
                <w:lang w:val="sr-Latn-RS"/>
              </w:rPr>
              <w:t>a</w:t>
            </w:r>
            <w:r>
              <w:rPr>
                <w:sz w:val="24"/>
                <w:szCs w:val="24"/>
                <w:lang w:val="en-US"/>
              </w:rPr>
              <w:t>n</w:t>
            </w:r>
            <w:r w:rsidRPr="00442B08">
              <w:rPr>
                <w:sz w:val="24"/>
                <w:szCs w:val="24"/>
                <w:lang w:val="sr-Latn-RS"/>
              </w:rPr>
              <w:t>.</w:t>
            </w:r>
          </w:p>
          <w:p w:rsidR="00DA42A5" w:rsidRPr="00442B08" w:rsidRDefault="00DA42A5" w:rsidP="00BF4D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442B08">
              <w:rPr>
                <w:sz w:val="24"/>
                <w:szCs w:val="24"/>
                <w:lang w:val="sr-Latn-RS"/>
              </w:rPr>
              <w:t>Rogers, J. (2012). Market Leader Elementary</w:t>
            </w:r>
            <w:r>
              <w:rPr>
                <w:sz w:val="24"/>
                <w:szCs w:val="24"/>
                <w:lang w:val="sr-Cyrl-ME"/>
              </w:rPr>
              <w:t xml:space="preserve"> </w:t>
            </w:r>
            <w:r w:rsidRPr="00442B08">
              <w:rPr>
                <w:sz w:val="24"/>
                <w:szCs w:val="24"/>
                <w:lang w:val="sr-Latn-RS"/>
              </w:rPr>
              <w:t>Business English Pr</w:t>
            </w:r>
            <w:r>
              <w:rPr>
                <w:sz w:val="24"/>
                <w:szCs w:val="24"/>
                <w:lang w:val="sr-Latn-RS"/>
              </w:rPr>
              <w:t>actice Files. UK: Pearson Longm</w:t>
            </w:r>
            <w:r w:rsidRPr="00442B08">
              <w:rPr>
                <w:sz w:val="24"/>
                <w:szCs w:val="24"/>
                <w:lang w:val="sr-Latn-RS"/>
              </w:rPr>
              <w:t>a</w:t>
            </w:r>
            <w:r>
              <w:rPr>
                <w:sz w:val="24"/>
                <w:szCs w:val="24"/>
                <w:lang w:val="en-US"/>
              </w:rPr>
              <w:t>n</w:t>
            </w:r>
            <w:r w:rsidRPr="00442B08">
              <w:rPr>
                <w:sz w:val="24"/>
                <w:szCs w:val="24"/>
                <w:lang w:val="sr-Latn-RS"/>
              </w:rPr>
              <w:t>.</w:t>
            </w:r>
          </w:p>
          <w:p w:rsidR="00DA42A5" w:rsidRPr="00442B08" w:rsidRDefault="00DA42A5" w:rsidP="00BF4D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442B08">
              <w:rPr>
                <w:sz w:val="24"/>
                <w:szCs w:val="24"/>
                <w:lang w:val="sr-Latn-RS"/>
              </w:rPr>
              <w:t>Emmerson, P. (2007).</w:t>
            </w:r>
            <w:r>
              <w:rPr>
                <w:sz w:val="24"/>
                <w:szCs w:val="24"/>
                <w:lang w:val="sr-Latn-RS"/>
              </w:rPr>
              <w:t xml:space="preserve"> </w:t>
            </w:r>
            <w:r w:rsidRPr="00442B08">
              <w:rPr>
                <w:sz w:val="24"/>
                <w:szCs w:val="24"/>
                <w:lang w:val="sr-Latn-RS"/>
              </w:rPr>
              <w:t>Essential Business Grammar Builder. UK: Mackmillan.</w:t>
            </w:r>
          </w:p>
          <w:p w:rsidR="00DA42A5" w:rsidRPr="00442B08" w:rsidRDefault="00DA42A5" w:rsidP="00BF4D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442B08">
              <w:rPr>
                <w:sz w:val="24"/>
                <w:szCs w:val="24"/>
                <w:lang w:val="sr-Latn-RS"/>
              </w:rPr>
              <w:t>Taylor, Sh. (2012). Model Business Letters, E-mails, and Other Business Documents. FT Press.</w:t>
            </w:r>
          </w:p>
          <w:p w:rsidR="00DA42A5" w:rsidRPr="00442B08" w:rsidRDefault="00DA42A5" w:rsidP="00BF4D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442B08">
              <w:rPr>
                <w:sz w:val="24"/>
                <w:szCs w:val="24"/>
                <w:lang w:val="sr-Latn-RS"/>
              </w:rPr>
              <w:t>Sweeney, S. (2004).Communicating in Business. UK: Cambridge Professional English.</w:t>
            </w:r>
          </w:p>
          <w:p w:rsidR="00DA42A5" w:rsidRPr="00442B08" w:rsidRDefault="00DA42A5" w:rsidP="00BF4D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</w:p>
          <w:p w:rsidR="00DA42A5" w:rsidRPr="002D43DE" w:rsidRDefault="00DA42A5" w:rsidP="00BF4D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 w:rsidRPr="00442B08">
              <w:rPr>
                <w:sz w:val="24"/>
                <w:szCs w:val="24"/>
                <w:lang w:val="sr-Latn-RS"/>
              </w:rPr>
              <w:t>Видео и аудио материјал</w:t>
            </w:r>
            <w:r>
              <w:rPr>
                <w:sz w:val="24"/>
                <w:szCs w:val="24"/>
                <w:lang w:val="sr-Latn-RS"/>
              </w:rPr>
              <w:t xml:space="preserve"> који прате уџбеник и </w:t>
            </w:r>
            <w:r w:rsidRPr="00442B08">
              <w:rPr>
                <w:sz w:val="24"/>
                <w:szCs w:val="24"/>
                <w:lang w:val="sr-Latn-RS"/>
              </w:rPr>
              <w:t>образовни материјал доступан на интернету.</w:t>
            </w:r>
          </w:p>
        </w:tc>
      </w:tr>
      <w:tr w:rsidR="00DA42A5" w:rsidRPr="002D43DE" w:rsidTr="00BF4D91">
        <w:tc>
          <w:tcPr>
            <w:tcW w:w="3050" w:type="dxa"/>
            <w:gridSpan w:val="3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lastRenderedPageBreak/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DA42A5" w:rsidRPr="00442B08" w:rsidRDefault="00DA42A5" w:rsidP="00BF4D9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3192" w:type="dxa"/>
            <w:gridSpan w:val="3"/>
          </w:tcPr>
          <w:p w:rsidR="00DA42A5" w:rsidRPr="00442B08" w:rsidRDefault="00DA42A5" w:rsidP="00BF4D91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DA42A5" w:rsidRPr="002D43DE" w:rsidTr="00BF4D91">
        <w:tc>
          <w:tcPr>
            <w:tcW w:w="9288" w:type="dxa"/>
            <w:gridSpan w:val="8"/>
          </w:tcPr>
          <w:p w:rsidR="00DA42A5" w:rsidRPr="002D43DE" w:rsidRDefault="00DA42A5" w:rsidP="00BF4D91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DA42A5" w:rsidRPr="002D43DE" w:rsidTr="00BF4D91">
        <w:tc>
          <w:tcPr>
            <w:tcW w:w="4631" w:type="dxa"/>
            <w:gridSpan w:val="4"/>
          </w:tcPr>
          <w:p w:rsidR="00DA42A5" w:rsidRPr="002D43DE" w:rsidRDefault="00DA42A5" w:rsidP="00BF4D91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DA42A5" w:rsidRPr="002D43DE" w:rsidRDefault="00DA42A5" w:rsidP="00BF4D9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  <w:tc>
          <w:tcPr>
            <w:tcW w:w="1833" w:type="dxa"/>
            <w:shd w:val="clear" w:color="auto" w:fill="auto"/>
          </w:tcPr>
          <w:p w:rsidR="00DA42A5" w:rsidRPr="002D43DE" w:rsidRDefault="00DA42A5" w:rsidP="00BF4D91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DA42A5" w:rsidRPr="002D43DE" w:rsidRDefault="00DA42A5" w:rsidP="00BF4D9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42B08">
              <w:rPr>
                <w:b/>
                <w:sz w:val="24"/>
                <w:szCs w:val="24"/>
                <w:lang w:val="ru-RU"/>
              </w:rPr>
              <w:t>55 поена</w:t>
            </w:r>
          </w:p>
        </w:tc>
      </w:tr>
      <w:tr w:rsidR="00DA42A5" w:rsidRPr="002D43DE" w:rsidTr="00BF4D91">
        <w:tc>
          <w:tcPr>
            <w:tcW w:w="4631" w:type="dxa"/>
            <w:gridSpan w:val="4"/>
          </w:tcPr>
          <w:p w:rsidR="00DA42A5" w:rsidRPr="002D43DE" w:rsidRDefault="00DA42A5" w:rsidP="00BF4D91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A42A5" w:rsidRPr="002D43DE" w:rsidRDefault="00DA42A5" w:rsidP="00BF4D91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DA42A5" w:rsidRPr="002D43DE" w:rsidRDefault="00DA42A5" w:rsidP="00BF4D91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DA42A5" w:rsidRPr="00442B08" w:rsidRDefault="00DA42A5" w:rsidP="00BF4D91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40</w:t>
            </w:r>
          </w:p>
        </w:tc>
      </w:tr>
      <w:tr w:rsidR="00DA42A5" w:rsidRPr="002D43DE" w:rsidTr="00BF4D91">
        <w:tc>
          <w:tcPr>
            <w:tcW w:w="4631" w:type="dxa"/>
            <w:gridSpan w:val="4"/>
          </w:tcPr>
          <w:p w:rsidR="00DA42A5" w:rsidRPr="002D43DE" w:rsidRDefault="00DA42A5" w:rsidP="00BF4D91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DA42A5" w:rsidRPr="00442B08" w:rsidRDefault="00DA42A5" w:rsidP="00BF4D91">
            <w:pPr>
              <w:jc w:val="center"/>
              <w:rPr>
                <w:b/>
                <w:bCs/>
                <w:lang w:val="sr-Cyrl-CS"/>
              </w:rPr>
            </w:pPr>
            <w:r w:rsidRPr="00442B08">
              <w:rPr>
                <w:b/>
                <w:bCs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DA42A5" w:rsidRPr="002D43DE" w:rsidRDefault="00DA42A5" w:rsidP="00BF4D91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DA42A5" w:rsidRPr="00442B08" w:rsidRDefault="00DA42A5" w:rsidP="00BF4D91">
            <w:pPr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442B08">
              <w:rPr>
                <w:b/>
                <w:iCs/>
                <w:sz w:val="24"/>
                <w:szCs w:val="24"/>
                <w:lang w:val="en-US"/>
              </w:rPr>
              <w:t>15</w:t>
            </w:r>
          </w:p>
        </w:tc>
      </w:tr>
      <w:tr w:rsidR="00DA42A5" w:rsidRPr="002D43DE" w:rsidTr="00BF4D91">
        <w:tc>
          <w:tcPr>
            <w:tcW w:w="4631" w:type="dxa"/>
            <w:gridSpan w:val="4"/>
          </w:tcPr>
          <w:p w:rsidR="00DA42A5" w:rsidRPr="002D43DE" w:rsidRDefault="00DA42A5" w:rsidP="00BF4D91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DA42A5" w:rsidRPr="002D43DE" w:rsidRDefault="00DA42A5" w:rsidP="00BF4D91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lang w:val="sr-Cyrl-CS"/>
              </w:rPr>
              <w:t>1</w:t>
            </w: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1833" w:type="dxa"/>
            <w:shd w:val="clear" w:color="auto" w:fill="auto"/>
          </w:tcPr>
          <w:p w:rsidR="00DA42A5" w:rsidRPr="002D43DE" w:rsidRDefault="00DA42A5" w:rsidP="00BF4D91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DA42A5" w:rsidRPr="002D43DE" w:rsidRDefault="00DA42A5" w:rsidP="00BF4D91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DA42A5" w:rsidRPr="002D43DE" w:rsidTr="00BF4D91">
        <w:tc>
          <w:tcPr>
            <w:tcW w:w="4631" w:type="dxa"/>
            <w:gridSpan w:val="4"/>
          </w:tcPr>
          <w:p w:rsidR="00DA42A5" w:rsidRPr="002D43DE" w:rsidRDefault="00DA42A5" w:rsidP="00BF4D91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DA42A5" w:rsidRPr="002D43DE" w:rsidRDefault="00DA42A5" w:rsidP="00BF4D91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33" w:type="dxa"/>
            <w:shd w:val="clear" w:color="auto" w:fill="auto"/>
          </w:tcPr>
          <w:p w:rsidR="00DA42A5" w:rsidRPr="002D43DE" w:rsidRDefault="00DA42A5" w:rsidP="00BF4D91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DA42A5" w:rsidRPr="002D43DE" w:rsidRDefault="00DA42A5" w:rsidP="00BF4D91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5C59E2" w:rsidRDefault="005C59E2"/>
    <w:sectPr w:rsidR="005C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A5"/>
    <w:rsid w:val="00333384"/>
    <w:rsid w:val="003A0114"/>
    <w:rsid w:val="003B3C21"/>
    <w:rsid w:val="005C59E2"/>
    <w:rsid w:val="00636743"/>
    <w:rsid w:val="00836998"/>
    <w:rsid w:val="00AA1DAD"/>
    <w:rsid w:val="00B5289A"/>
    <w:rsid w:val="00B55D59"/>
    <w:rsid w:val="00C4116D"/>
    <w:rsid w:val="00CE1678"/>
    <w:rsid w:val="00DA42A5"/>
    <w:rsid w:val="00EE0481"/>
    <w:rsid w:val="00F13453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4</cp:revision>
  <dcterms:created xsi:type="dcterms:W3CDTF">2017-11-14T19:00:00Z</dcterms:created>
  <dcterms:modified xsi:type="dcterms:W3CDTF">2017-11-14T22:59:00Z</dcterms:modified>
</cp:coreProperties>
</file>