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4"/>
        <w:gridCol w:w="872"/>
        <w:gridCol w:w="1568"/>
        <w:gridCol w:w="1245"/>
        <w:gridCol w:w="203"/>
        <w:gridCol w:w="1985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FB3ED2">
        <w:trPr>
          <w:trHeight w:val="235"/>
        </w:trPr>
        <w:tc>
          <w:tcPr>
            <w:tcW w:w="2235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053" w:type="dxa"/>
            <w:gridSpan w:val="6"/>
            <w:vAlign w:val="center"/>
          </w:tcPr>
          <w:p w:rsidR="00033B98" w:rsidRPr="00FB3ED2" w:rsidRDefault="00A11641" w:rsidP="00FB3E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2017/</w:t>
            </w:r>
            <w:r w:rsidR="00FB3E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018</w:t>
            </w:r>
            <w:r w:rsidR="00FB3ED2">
              <w:rPr>
                <w:bCs/>
                <w:sz w:val="24"/>
                <w:szCs w:val="24"/>
              </w:rPr>
              <w:t>, зимски семестар</w:t>
            </w:r>
          </w:p>
        </w:tc>
      </w:tr>
      <w:tr w:rsidR="008D47D3" w:rsidRPr="002D43DE" w:rsidTr="00FB3ED2">
        <w:trPr>
          <w:trHeight w:val="235"/>
        </w:trPr>
        <w:tc>
          <w:tcPr>
            <w:tcW w:w="2235" w:type="dxa"/>
            <w:gridSpan w:val="2"/>
          </w:tcPr>
          <w:p w:rsidR="008D47D3" w:rsidRPr="002D43DE" w:rsidRDefault="008D47D3" w:rsidP="00FB3ED2">
            <w:pPr>
              <w:ind w:right="-113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053" w:type="dxa"/>
            <w:gridSpan w:val="6"/>
          </w:tcPr>
          <w:p w:rsidR="008D47D3" w:rsidRPr="00FB3ED2" w:rsidRDefault="00477763" w:rsidP="00A412EF">
            <w:pPr>
              <w:spacing w:before="20"/>
              <w:ind w:right="-113"/>
              <w:rPr>
                <w:bCs/>
                <w:spacing w:val="-4"/>
                <w:sz w:val="24"/>
                <w:szCs w:val="24"/>
              </w:rPr>
            </w:pPr>
            <w:r w:rsidRPr="00FB3ED2">
              <w:rPr>
                <w:spacing w:val="-4"/>
              </w:rPr>
              <w:t>ТРГОВИНА И МЕЂУНАРОДНО ПОСЛОВАЊЕ ТУРИЗАМ И ХОТЕЛИЈЕРСТВО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053" w:type="dxa"/>
            <w:gridSpan w:val="6"/>
          </w:tcPr>
          <w:p w:rsidR="008D47D3" w:rsidRPr="00FB3ED2" w:rsidRDefault="00A11641" w:rsidP="00A11641">
            <w:pPr>
              <w:rPr>
                <w:bCs/>
                <w:sz w:val="24"/>
                <w:szCs w:val="24"/>
              </w:rPr>
            </w:pPr>
            <w:r w:rsidRPr="00FB3ED2">
              <w:rPr>
                <w:bCs/>
                <w:sz w:val="24"/>
                <w:szCs w:val="24"/>
              </w:rPr>
              <w:t xml:space="preserve">ПОНАШАЊЕ ПОТРОШАЧА 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053" w:type="dxa"/>
            <w:gridSpan w:val="6"/>
          </w:tcPr>
          <w:p w:rsidR="008D47D3" w:rsidRPr="002D43DE" w:rsidRDefault="00A11641" w:rsidP="00A1164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Здравко Шолак</w:t>
            </w:r>
          </w:p>
        </w:tc>
      </w:tr>
      <w:tr w:rsidR="0019398C" w:rsidRPr="002D43DE" w:rsidTr="00FB3ED2">
        <w:trPr>
          <w:trHeight w:val="232"/>
        </w:trPr>
        <w:tc>
          <w:tcPr>
            <w:tcW w:w="2235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053" w:type="dxa"/>
            <w:gridSpan w:val="6"/>
          </w:tcPr>
          <w:p w:rsidR="0019398C" w:rsidRPr="002D43DE" w:rsidRDefault="00A11641" w:rsidP="00A1164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Марија Врањеш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053" w:type="dxa"/>
            <w:gridSpan w:val="6"/>
          </w:tcPr>
          <w:p w:rsidR="008D47D3" w:rsidRPr="002D43DE" w:rsidRDefault="00A1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053" w:type="dxa"/>
            <w:gridSpan w:val="6"/>
          </w:tcPr>
          <w:p w:rsidR="008D47D3" w:rsidRPr="002D43DE" w:rsidRDefault="0047776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  (6)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053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2D454F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2D454F" w:rsidRPr="00B7724F">
              <w:rPr>
                <w:bCs/>
                <w:noProof/>
                <w:lang w:val="sr-Cyrl-CS"/>
              </w:rPr>
              <w:t xml:space="preserve"> Усвајање темељних знања о понашању потрошача и утицајима на њега пре, за време и после куповине у циљу креирања ефикасних маркетинг стратегија намењених тржишту финалне потрошње.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2D454F" w:rsidRPr="00B7724F" w:rsidRDefault="000E1B24" w:rsidP="002D454F">
            <w:pPr>
              <w:rPr>
                <w:noProof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2D454F">
              <w:rPr>
                <w:noProof/>
                <w:lang w:val="sr-Cyrl-CS"/>
              </w:rPr>
              <w:t xml:space="preserve"> Студент који успешно </w:t>
            </w:r>
            <w:r w:rsidR="002D454F" w:rsidRPr="00F65929">
              <w:rPr>
                <w:noProof/>
                <w:lang w:val="ru-RU"/>
              </w:rPr>
              <w:t>савлада</w:t>
            </w:r>
            <w:r w:rsidR="002D454F" w:rsidRPr="00B7724F">
              <w:rPr>
                <w:noProof/>
                <w:lang w:val="sr-Cyrl-CS"/>
              </w:rPr>
              <w:t xml:space="preserve"> овај предмет оспособљен је да:</w:t>
            </w:r>
          </w:p>
          <w:p w:rsidR="002D454F" w:rsidRPr="00B7724F" w:rsidRDefault="002D454F" w:rsidP="002D454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lang w:val="sr-Cyrl-CS"/>
              </w:rPr>
            </w:pPr>
            <w:r w:rsidRPr="00B7724F">
              <w:rPr>
                <w:noProof/>
                <w:lang w:val="sr-Cyrl-CS"/>
              </w:rPr>
              <w:t>Дефинише место и улогу потрошача у маркетиншком одлучивању предузећа</w:t>
            </w:r>
          </w:p>
          <w:p w:rsidR="002D454F" w:rsidRPr="00B7724F" w:rsidRDefault="002D454F" w:rsidP="002D454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lang w:val="sr-Cyrl-CS"/>
              </w:rPr>
            </w:pPr>
            <w:r w:rsidRPr="00B7724F">
              <w:rPr>
                <w:noProof/>
                <w:lang w:val="sr-Cyrl-CS"/>
              </w:rPr>
              <w:t>Идентификује утицај</w:t>
            </w:r>
            <w:r w:rsidR="00FB3ED2">
              <w:rPr>
                <w:noProof/>
                <w:lang w:val="sr-Cyrl-CS"/>
              </w:rPr>
              <w:t>е</w:t>
            </w:r>
            <w:r w:rsidRPr="00B7724F">
              <w:rPr>
                <w:noProof/>
                <w:lang w:val="sr-Cyrl-CS"/>
              </w:rPr>
              <w:t xml:space="preserve"> на понашање и одлучивање  финалних потрошача </w:t>
            </w:r>
          </w:p>
          <w:p w:rsidR="002D454F" w:rsidRPr="00B7724F" w:rsidRDefault="002D454F" w:rsidP="002D454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lang w:val="sr-Cyrl-CS"/>
              </w:rPr>
            </w:pPr>
            <w:r w:rsidRPr="00B7724F">
              <w:rPr>
                <w:noProof/>
                <w:lang w:val="sr-Cyrl-CS"/>
              </w:rPr>
              <w:t>Објасни фазе процеса одлучивања потрошача</w:t>
            </w:r>
          </w:p>
          <w:p w:rsidR="004358CB" w:rsidRPr="002D43DE" w:rsidRDefault="002D454F" w:rsidP="00FB3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B3ED2">
              <w:rPr>
                <w:noProof/>
                <w:lang w:val="sr-Cyrl-CS"/>
              </w:rPr>
              <w:t xml:space="preserve">Повезује информације о потрошачима са маркетиншким одлучивањем, </w:t>
            </w:r>
            <w:r w:rsidR="00FB3ED2">
              <w:rPr>
                <w:noProof/>
                <w:lang w:val="sr-Cyrl-CS"/>
              </w:rPr>
              <w:t>а</w:t>
            </w:r>
            <w:r w:rsidRPr="00FB3ED2">
              <w:rPr>
                <w:noProof/>
                <w:lang w:val="sr-Cyrl-CS"/>
              </w:rPr>
              <w:t>нализира утицаје мултикултуралних димензија друштва (етничке, верске, језичке, медијске</w:t>
            </w:r>
            <w:r w:rsidR="00FB3ED2">
              <w:rPr>
                <w:noProof/>
                <w:lang w:val="sr-Cyrl-CS"/>
              </w:rPr>
              <w:t xml:space="preserve">) на понашање «нових потрошача»; </w:t>
            </w:r>
            <w:r w:rsidRPr="00B7724F">
              <w:rPr>
                <w:noProof/>
                <w:lang w:val="sr-Cyrl-CS"/>
              </w:rPr>
              <w:t>Упоређује различите праксе законске заштите и самоорганизовања потрошача</w:t>
            </w:r>
            <w:r w:rsidR="00B13EC6">
              <w:rPr>
                <w:noProof/>
                <w:lang w:val="sr-Cyrl-C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FB3E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412EF">
              <w:rPr>
                <w:b/>
                <w:bCs/>
                <w:spacing w:val="-4"/>
                <w:sz w:val="24"/>
                <w:szCs w:val="24"/>
              </w:rPr>
              <w:t>Садржај предмета</w:t>
            </w:r>
            <w:r w:rsidR="00A412EF" w:rsidRPr="00A412EF">
              <w:rPr>
                <w:b/>
                <w:bCs/>
                <w:spacing w:val="-4"/>
                <w:sz w:val="24"/>
                <w:szCs w:val="24"/>
              </w:rPr>
              <w:t>:</w:t>
            </w:r>
            <w:r w:rsidR="00477763" w:rsidRPr="00A412EF">
              <w:rPr>
                <w:spacing w:val="-4"/>
              </w:rPr>
              <w:t xml:space="preserve"> Потрошач у маркетинг истраживању; Истраживање потреба и мотива потрошача</w:t>
            </w:r>
            <w:r w:rsidR="00FB3ED2" w:rsidRPr="00A412EF">
              <w:rPr>
                <w:spacing w:val="-4"/>
              </w:rPr>
              <w:t>;</w:t>
            </w:r>
            <w:r w:rsidR="00477763">
              <w:t xml:space="preserve"> Детерминанте понашања потрошача;Социолошке детерминанте понашања потрошача;</w:t>
            </w:r>
            <w:r w:rsidR="00477763">
              <w:sym w:font="Symbol" w:char="F0B7"/>
            </w:r>
            <w:r w:rsidR="00477763">
              <w:t xml:space="preserve">  Одлучивање потрошача о куповини;</w:t>
            </w:r>
            <w:r w:rsidR="00FB3ED2">
              <w:t xml:space="preserve"> </w:t>
            </w:r>
            <w:r w:rsidR="00477763">
              <w:t xml:space="preserve">Мотиви и понашање индустријског купца;  Конзумеризам и заштита потрошача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FB3ED2">
            <w:pPr>
              <w:spacing w:before="80" w:after="40"/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A412EF">
        <w:tc>
          <w:tcPr>
            <w:tcW w:w="1951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7337" w:type="dxa"/>
            <w:gridSpan w:val="7"/>
          </w:tcPr>
          <w:p w:rsidR="00033B98" w:rsidRPr="002D43DE" w:rsidRDefault="00A412EF" w:rsidP="00FB3ED2">
            <w:pPr>
              <w:overflowPunct w:val="0"/>
              <w:ind w:left="822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033B98"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A412EF">
        <w:trPr>
          <w:trHeight w:val="251"/>
        </w:trPr>
        <w:tc>
          <w:tcPr>
            <w:tcW w:w="1951" w:type="dxa"/>
          </w:tcPr>
          <w:p w:rsidR="00033B98" w:rsidRPr="00B13EC6" w:rsidRDefault="00033B98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1.</w:t>
            </w:r>
            <w:r w:rsidR="00B13EC6" w:rsidRPr="00B13EC6">
              <w:rPr>
                <w:bCs/>
                <w:sz w:val="24"/>
                <w:szCs w:val="24"/>
              </w:rPr>
              <w:t xml:space="preserve">   10.10.2017.</w:t>
            </w:r>
          </w:p>
        </w:tc>
        <w:tc>
          <w:tcPr>
            <w:tcW w:w="7337" w:type="dxa"/>
            <w:gridSpan w:val="7"/>
          </w:tcPr>
          <w:p w:rsidR="00033B98" w:rsidRPr="00F7483F" w:rsidRDefault="00514105" w:rsidP="00B13E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7483F">
              <w:t>Потрошач у маркетинг истраживању</w:t>
            </w:r>
          </w:p>
        </w:tc>
      </w:tr>
      <w:tr w:rsidR="00033B98" w:rsidRPr="002D43DE" w:rsidTr="00A412EF">
        <w:trPr>
          <w:trHeight w:val="238"/>
        </w:trPr>
        <w:tc>
          <w:tcPr>
            <w:tcW w:w="1951" w:type="dxa"/>
          </w:tcPr>
          <w:p w:rsidR="00033B98" w:rsidRPr="00B13EC6" w:rsidRDefault="00033B98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2.</w:t>
            </w:r>
            <w:r w:rsidR="00B13EC6" w:rsidRPr="00B13EC6">
              <w:rPr>
                <w:bCs/>
                <w:sz w:val="24"/>
                <w:szCs w:val="24"/>
              </w:rPr>
              <w:t xml:space="preserve">   18.10.2017.</w:t>
            </w:r>
          </w:p>
        </w:tc>
        <w:tc>
          <w:tcPr>
            <w:tcW w:w="7337" w:type="dxa"/>
            <w:gridSpan w:val="7"/>
          </w:tcPr>
          <w:p w:rsidR="00033B98" w:rsidRPr="00F7483F" w:rsidRDefault="00514105" w:rsidP="00467644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F7483F">
              <w:t>Истраживање потреба потрошача</w:t>
            </w:r>
          </w:p>
        </w:tc>
      </w:tr>
      <w:tr w:rsidR="00033B98" w:rsidRPr="002D43DE" w:rsidTr="00A412EF">
        <w:trPr>
          <w:trHeight w:val="238"/>
        </w:trPr>
        <w:tc>
          <w:tcPr>
            <w:tcW w:w="1951" w:type="dxa"/>
          </w:tcPr>
          <w:p w:rsidR="00033B98" w:rsidRPr="00B13EC6" w:rsidRDefault="00033B98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3.</w:t>
            </w:r>
            <w:r w:rsidR="00B13EC6" w:rsidRPr="00B13EC6">
              <w:rPr>
                <w:bCs/>
                <w:sz w:val="24"/>
                <w:szCs w:val="24"/>
              </w:rPr>
              <w:t xml:space="preserve">   25.10.2017.</w:t>
            </w:r>
          </w:p>
        </w:tc>
        <w:tc>
          <w:tcPr>
            <w:tcW w:w="7337" w:type="dxa"/>
            <w:gridSpan w:val="7"/>
          </w:tcPr>
          <w:p w:rsidR="00033B98" w:rsidRPr="00F7483F" w:rsidRDefault="00467644" w:rsidP="00467644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F7483F">
              <w:t>П</w:t>
            </w:r>
            <w:r w:rsidR="00514105" w:rsidRPr="00F7483F">
              <w:t>отрошач</w:t>
            </w:r>
            <w:r>
              <w:t>еви мотиви, мотивациони просец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4.   01.11.2017.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8259B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>
              <w:t>Д</w:t>
            </w:r>
            <w:r w:rsidRPr="00F7483F">
              <w:t>етерминанте понашања потрошача</w:t>
            </w:r>
            <w:r>
              <w:t>:</w:t>
            </w:r>
            <w:r w:rsidRPr="00F7483F">
              <w:t xml:space="preserve"> </w:t>
            </w:r>
            <w:r>
              <w:t>д</w:t>
            </w:r>
            <w:r w:rsidRPr="00F7483F">
              <w:t xml:space="preserve">емографске и географске 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 xml:space="preserve">   08.11.2017.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8259B3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>
              <w:t xml:space="preserve">    </w:t>
            </w:r>
            <w:r w:rsidRPr="00F7483F">
              <w:t>Економске детерминанте понашања потрошача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 xml:space="preserve">   15.11.2017.</w:t>
            </w:r>
          </w:p>
        </w:tc>
        <w:tc>
          <w:tcPr>
            <w:tcW w:w="7337" w:type="dxa"/>
            <w:gridSpan w:val="7"/>
          </w:tcPr>
          <w:p w:rsidR="00F0695F" w:rsidRPr="00F0695F" w:rsidRDefault="00F0695F" w:rsidP="008259B3">
            <w:pPr>
              <w:overflowPunct w:val="0"/>
              <w:jc w:val="both"/>
              <w:textAlignment w:val="baseline"/>
              <w:rPr>
                <w:bCs/>
                <w:spacing w:val="-4"/>
              </w:rPr>
            </w:pPr>
            <w:r>
              <w:rPr>
                <w:bCs/>
              </w:rPr>
              <w:t xml:space="preserve">    </w:t>
            </w:r>
            <w:r w:rsidRPr="00F0695F">
              <w:rPr>
                <w:bCs/>
                <w:spacing w:val="-4"/>
              </w:rPr>
              <w:t>Социолошке детерминанте потрошачевог понашања; култура, друштвени слој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7.</w:t>
            </w:r>
            <w:r>
              <w:rPr>
                <w:bCs/>
                <w:sz w:val="24"/>
                <w:szCs w:val="24"/>
              </w:rPr>
              <w:t xml:space="preserve">   22.11.2017.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FB3ED2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                Релевантне и референтне групе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8.</w:t>
            </w:r>
            <w:r>
              <w:rPr>
                <w:bCs/>
                <w:sz w:val="24"/>
                <w:szCs w:val="24"/>
              </w:rPr>
              <w:t xml:space="preserve">   29.11.2017.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8259B3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F7483F">
              <w:rPr>
                <w:bCs/>
              </w:rPr>
              <w:t>Психолошке детерминанте потрошачевог понашања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9.</w:t>
            </w:r>
            <w:r>
              <w:rPr>
                <w:bCs/>
                <w:sz w:val="24"/>
                <w:szCs w:val="24"/>
              </w:rPr>
              <w:t xml:space="preserve">   06.12.2017</w:t>
            </w:r>
          </w:p>
        </w:tc>
        <w:tc>
          <w:tcPr>
            <w:tcW w:w="7337" w:type="dxa"/>
            <w:gridSpan w:val="7"/>
          </w:tcPr>
          <w:p w:rsidR="00F0695F" w:rsidRPr="00F0695F" w:rsidRDefault="00F0695F" w:rsidP="008259B3">
            <w:pPr>
              <w:overflowPunct w:val="0"/>
              <w:jc w:val="both"/>
              <w:textAlignment w:val="baseline"/>
              <w:rPr>
                <w:bCs/>
              </w:rPr>
            </w:pPr>
            <w:r w:rsidRPr="00F0695F">
              <w:rPr>
                <w:sz w:val="24"/>
                <w:szCs w:val="24"/>
              </w:rPr>
              <w:t xml:space="preserve">            </w:t>
            </w:r>
            <w:r w:rsidRPr="00F0695F">
              <w:t>Процес информисања потрошача; прецепција, пажња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B13EC6">
            <w:pPr>
              <w:overflowPunct w:val="0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10.</w:t>
            </w:r>
            <w:r>
              <w:rPr>
                <w:bCs/>
                <w:sz w:val="24"/>
                <w:szCs w:val="24"/>
              </w:rPr>
              <w:t xml:space="preserve">   13.12.2017.</w:t>
            </w:r>
          </w:p>
        </w:tc>
        <w:tc>
          <w:tcPr>
            <w:tcW w:w="7337" w:type="dxa"/>
            <w:gridSpan w:val="7"/>
          </w:tcPr>
          <w:p w:rsidR="00F0695F" w:rsidRPr="00F0695F" w:rsidRDefault="00F0695F" w:rsidP="008259B3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               Прихват</w:t>
            </w:r>
            <w:r w:rsidRPr="00F0695F">
              <w:rPr>
                <w:bCs/>
              </w:rPr>
              <w:t>ање и памћење поруке, процес учења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 xml:space="preserve">   20.12.2017.</w:t>
            </w:r>
          </w:p>
        </w:tc>
        <w:tc>
          <w:tcPr>
            <w:tcW w:w="7337" w:type="dxa"/>
            <w:gridSpan w:val="7"/>
          </w:tcPr>
          <w:p w:rsidR="00F7483F" w:rsidRPr="00F0695F" w:rsidRDefault="00F0695F" w:rsidP="00F0695F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               Ставови потрошача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 xml:space="preserve">   27.12.2017.</w:t>
            </w:r>
          </w:p>
        </w:tc>
        <w:tc>
          <w:tcPr>
            <w:tcW w:w="7337" w:type="dxa"/>
            <w:gridSpan w:val="7"/>
          </w:tcPr>
          <w:p w:rsidR="00F7483F" w:rsidRPr="00F7483F" w:rsidRDefault="00F0695F" w:rsidP="00F0695F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>
              <w:t>Одлучивање потрошача о куповини:</w:t>
            </w:r>
            <w:r w:rsidRPr="00514784">
              <w:rPr>
                <w:sz w:val="24"/>
                <w:szCs w:val="24"/>
              </w:rPr>
              <w:t xml:space="preserve"> </w:t>
            </w:r>
            <w:r w:rsidRPr="00F0695F">
              <w:t>теоријска објашњења процеса куповине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477763">
            <w:pPr>
              <w:overflowPunct w:val="0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 xml:space="preserve">   10.01.2018.</w:t>
            </w:r>
          </w:p>
        </w:tc>
        <w:tc>
          <w:tcPr>
            <w:tcW w:w="7337" w:type="dxa"/>
            <w:gridSpan w:val="7"/>
          </w:tcPr>
          <w:p w:rsidR="00F7483F" w:rsidRPr="00F0695F" w:rsidRDefault="00F0695F" w:rsidP="00E775EE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0695F">
              <w:rPr>
                <w:bCs/>
              </w:rPr>
              <w:t xml:space="preserve">  Фазе процеса одлучивања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14.</w:t>
            </w:r>
            <w:r>
              <w:rPr>
                <w:bCs/>
                <w:sz w:val="24"/>
                <w:szCs w:val="24"/>
              </w:rPr>
              <w:t xml:space="preserve">   17.01.2018.</w:t>
            </w:r>
          </w:p>
        </w:tc>
        <w:tc>
          <w:tcPr>
            <w:tcW w:w="7337" w:type="dxa"/>
            <w:gridSpan w:val="7"/>
          </w:tcPr>
          <w:p w:rsidR="00F7483F" w:rsidRPr="00F7483F" w:rsidRDefault="00F7483F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F7483F">
              <w:t>Мотиви и понашање индустријског купца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</w:rPr>
            </w:pPr>
            <w:r w:rsidRPr="00B13EC6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 xml:space="preserve">   24.01.2018.</w:t>
            </w:r>
          </w:p>
        </w:tc>
        <w:tc>
          <w:tcPr>
            <w:tcW w:w="7337" w:type="dxa"/>
            <w:gridSpan w:val="7"/>
          </w:tcPr>
          <w:p w:rsidR="00F7483F" w:rsidRPr="00F7483F" w:rsidRDefault="00F7483F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F7483F">
              <w:t>Конзумеризам и заштита потрошача</w:t>
            </w:r>
          </w:p>
        </w:tc>
      </w:tr>
      <w:tr w:rsidR="00F7483F" w:rsidRPr="002D43DE" w:rsidTr="0019398C">
        <w:tc>
          <w:tcPr>
            <w:tcW w:w="9288" w:type="dxa"/>
            <w:gridSpan w:val="8"/>
          </w:tcPr>
          <w:p w:rsidR="00F7483F" w:rsidRDefault="00F7483F" w:rsidP="00E775EE">
            <w:pPr>
              <w:jc w:val="both"/>
              <w:rPr>
                <w:lang w:val="ru-MO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Pr="008C30DE">
              <w:rPr>
                <w:lang w:val="ru-MO"/>
              </w:rPr>
              <w:t>Маричић Б., Понашање потрошача, Економски факултет Београд-издавачки центар,</w:t>
            </w:r>
          </w:p>
          <w:p w:rsidR="00F7483F" w:rsidRPr="002D43DE" w:rsidRDefault="00F7483F" w:rsidP="00B13E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7724F">
              <w:rPr>
                <w:noProof/>
                <w:lang w:val="sr-Cyrl-CS"/>
              </w:rPr>
              <w:t>Схиффман, Л. Канук, Л.Л. Понашање потрошача. VII издање,  Прентице Халл/Мате Загреб, 2004</w:t>
            </w:r>
          </w:p>
        </w:tc>
      </w:tr>
      <w:tr w:rsidR="00F7483F" w:rsidRPr="002D43DE" w:rsidTr="00B13EC6">
        <w:tc>
          <w:tcPr>
            <w:tcW w:w="3107" w:type="dxa"/>
            <w:gridSpan w:val="3"/>
          </w:tcPr>
          <w:p w:rsidR="00F7483F" w:rsidRPr="00FB3ED2" w:rsidRDefault="00F7483F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FB3ED2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FB3ED2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3"/>
          </w:tcPr>
          <w:p w:rsidR="00F7483F" w:rsidRPr="00FB3ED2" w:rsidRDefault="00F7483F" w:rsidP="008D47D3">
            <w:pPr>
              <w:rPr>
                <w:bCs/>
                <w:sz w:val="24"/>
                <w:szCs w:val="24"/>
                <w:lang w:val="sr-Cyrl-CS"/>
              </w:rPr>
            </w:pPr>
            <w:r w:rsidRPr="00FB3ED2">
              <w:rPr>
                <w:sz w:val="24"/>
                <w:szCs w:val="24"/>
                <w:lang w:val="sr-Cyrl-CS"/>
              </w:rPr>
              <w:t xml:space="preserve">Теоријска настава: </w:t>
            </w:r>
            <w:r w:rsidR="00467644" w:rsidRPr="00FB3ED2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2"/>
          </w:tcPr>
          <w:p w:rsidR="00F7483F" w:rsidRPr="00FB3ED2" w:rsidRDefault="00F7483F" w:rsidP="008D47D3">
            <w:pPr>
              <w:rPr>
                <w:bCs/>
                <w:sz w:val="24"/>
                <w:szCs w:val="24"/>
                <w:lang w:val="en-US"/>
              </w:rPr>
            </w:pPr>
            <w:r w:rsidRPr="00FB3ED2">
              <w:rPr>
                <w:sz w:val="24"/>
                <w:szCs w:val="24"/>
                <w:lang w:val="ru-RU"/>
              </w:rPr>
              <w:t xml:space="preserve">Практична настава: </w:t>
            </w:r>
            <w:r w:rsidR="00FB3ED2" w:rsidRPr="00FB3ED2">
              <w:rPr>
                <w:sz w:val="24"/>
                <w:szCs w:val="24"/>
                <w:lang w:val="ru-RU"/>
              </w:rPr>
              <w:t>30</w:t>
            </w:r>
          </w:p>
        </w:tc>
      </w:tr>
      <w:tr w:rsidR="00F7483F" w:rsidRPr="002D43DE" w:rsidTr="0019398C">
        <w:tc>
          <w:tcPr>
            <w:tcW w:w="9288" w:type="dxa"/>
            <w:gridSpan w:val="8"/>
          </w:tcPr>
          <w:p w:rsidR="00F7483F" w:rsidRPr="002D43DE" w:rsidRDefault="00F7483F" w:rsidP="00FB3ED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</w:t>
            </w:r>
            <w:r w:rsidR="00FB3ED2">
              <w:rPr>
                <w:b/>
                <w:bCs/>
                <w:sz w:val="24"/>
                <w:szCs w:val="24"/>
                <w:lang w:val="sr-Cyrl-CS"/>
              </w:rPr>
              <w:t>а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н број поена </w:t>
            </w:r>
            <w:r w:rsidR="00FB3ED2">
              <w:rPr>
                <w:b/>
                <w:bCs/>
                <w:sz w:val="24"/>
                <w:szCs w:val="24"/>
                <w:lang w:val="sr-Cyrl-CS"/>
              </w:rPr>
              <w:t xml:space="preserve">је 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>100)</w:t>
            </w: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2D43DE" w:rsidRDefault="00F7483F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245" w:type="dxa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FB3ED2" w:rsidRDefault="00F7483F" w:rsidP="00E775EE">
            <w:pPr>
              <w:rPr>
                <w:b/>
                <w:bCs/>
                <w:spacing w:val="-2"/>
                <w:sz w:val="24"/>
                <w:szCs w:val="24"/>
                <w:lang w:val="sr-Cyrl-CS"/>
              </w:rPr>
            </w:pPr>
            <w:r w:rsidRPr="00FB3ED2">
              <w:rPr>
                <w:b/>
                <w:iCs/>
                <w:spacing w:val="-2"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2D43DE" w:rsidRDefault="00F748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483F" w:rsidRPr="002D43DE" w:rsidRDefault="00A412E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467644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2D43DE" w:rsidRDefault="00F748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F7483F" w:rsidRPr="002D43DE" w:rsidRDefault="00F7483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FB3ED2" w:rsidRDefault="00F7483F" w:rsidP="00E775EE">
            <w:pPr>
              <w:rPr>
                <w:spacing w:val="-6"/>
                <w:sz w:val="24"/>
                <w:szCs w:val="24"/>
                <w:lang w:val="sr-Cyrl-CS"/>
              </w:rPr>
            </w:pPr>
            <w:r w:rsidRPr="00FB3ED2">
              <w:rPr>
                <w:spacing w:val="-6"/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45" w:type="dxa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2D43DE" w:rsidRDefault="00F748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F7483F" w:rsidRPr="002D43DE" w:rsidRDefault="00F7483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2D43DE" w:rsidRDefault="00F7483F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2D43DE" w:rsidRDefault="00F7483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F7483F" w:rsidRPr="002D43DE" w:rsidRDefault="00F7483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9051F" w:rsidP="00A412EF"/>
    <w:sectPr w:rsidR="006B1437" w:rsidSect="0071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AA2"/>
    <w:multiLevelType w:val="hybridMultilevel"/>
    <w:tmpl w:val="814818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05E22"/>
    <w:multiLevelType w:val="hybridMultilevel"/>
    <w:tmpl w:val="F0906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5051BB2"/>
    <w:multiLevelType w:val="hybridMultilevel"/>
    <w:tmpl w:val="A0405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2D454F"/>
    <w:rsid w:val="004358CB"/>
    <w:rsid w:val="00436748"/>
    <w:rsid w:val="00467644"/>
    <w:rsid w:val="00477763"/>
    <w:rsid w:val="00514105"/>
    <w:rsid w:val="00710DBD"/>
    <w:rsid w:val="008D47D3"/>
    <w:rsid w:val="008F015E"/>
    <w:rsid w:val="0099051F"/>
    <w:rsid w:val="00A11641"/>
    <w:rsid w:val="00A412EF"/>
    <w:rsid w:val="00B13EC6"/>
    <w:rsid w:val="00B22E20"/>
    <w:rsid w:val="00BE311B"/>
    <w:rsid w:val="00C50B31"/>
    <w:rsid w:val="00CB5709"/>
    <w:rsid w:val="00D23464"/>
    <w:rsid w:val="00F0695F"/>
    <w:rsid w:val="00F7483F"/>
    <w:rsid w:val="00FB13B0"/>
    <w:rsid w:val="00FB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2</cp:revision>
  <dcterms:created xsi:type="dcterms:W3CDTF">2017-11-15T01:17:00Z</dcterms:created>
  <dcterms:modified xsi:type="dcterms:W3CDTF">2017-11-15T01:17:00Z</dcterms:modified>
</cp:coreProperties>
</file>