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A" w:rsidRDefault="00A20BEF" w:rsidP="00A20BE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Gradivo za prvi kolokvijum iz predmeta Finansijska strategija i planiranje poreza:</w:t>
      </w:r>
    </w:p>
    <w:p w:rsidR="00A20BEF" w:rsidRDefault="00A20BEF" w:rsidP="00A20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Radičić, M., Raičević, B. (2008).</w:t>
      </w:r>
      <w:r w:rsidRPr="00A20BE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Javne finansije</w:t>
      </w:r>
      <w:r w:rsidR="007E58F3">
        <w:rPr>
          <w:rFonts w:ascii="Times New Roman" w:hAnsi="Times New Roman" w:cs="Times New Roman"/>
          <w:sz w:val="24"/>
          <w:szCs w:val="24"/>
          <w:lang/>
        </w:rPr>
        <w:t xml:space="preserve"> – Teorija i praksa</w:t>
      </w:r>
      <w:r>
        <w:rPr>
          <w:rFonts w:ascii="Times New Roman" w:hAnsi="Times New Roman" w:cs="Times New Roman"/>
          <w:sz w:val="24"/>
          <w:szCs w:val="24"/>
          <w:lang/>
        </w:rPr>
        <w:t>. Beograd: Data Status, str. 67-90.</w:t>
      </w:r>
    </w:p>
    <w:p w:rsidR="00A20BEF" w:rsidRPr="00A20BEF" w:rsidRDefault="00A20BEF" w:rsidP="00A20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Prezentacije: Oporezivanje u složenim državama, Dvostruko oporezivanje, Poreski sistemi, Poreska konkurencija i poreska harmonizacija.</w:t>
      </w:r>
    </w:p>
    <w:sectPr w:rsidR="00A20BEF" w:rsidRPr="00A20BEF" w:rsidSect="0070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327"/>
    <w:multiLevelType w:val="hybridMultilevel"/>
    <w:tmpl w:val="713A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A55"/>
    <w:rsid w:val="0070699A"/>
    <w:rsid w:val="007E58F3"/>
    <w:rsid w:val="00864A55"/>
    <w:rsid w:val="00A2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2017-12-02T16:48:00Z</dcterms:created>
  <dcterms:modified xsi:type="dcterms:W3CDTF">2017-12-02T16:57:00Z</dcterms:modified>
</cp:coreProperties>
</file>