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25A" w:rsidRPr="0030028B" w:rsidRDefault="00F1525A" w:rsidP="003B509B">
      <w:pPr>
        <w:jc w:val="center"/>
        <w:rPr>
          <w:sz w:val="22"/>
          <w:lang w:val="sr-Cyrl-RS"/>
        </w:rPr>
      </w:pPr>
    </w:p>
    <w:p w:rsidR="000432DE" w:rsidRPr="0030028B" w:rsidRDefault="000432DE" w:rsidP="000432DE">
      <w:pPr>
        <w:jc w:val="center"/>
        <w:rPr>
          <w:b/>
          <w:sz w:val="28"/>
          <w:szCs w:val="28"/>
          <w:lang w:val="sr-Cyrl-RS"/>
        </w:rPr>
      </w:pPr>
      <w:r w:rsidRPr="0030028B">
        <w:rPr>
          <w:b/>
          <w:sz w:val="28"/>
          <w:szCs w:val="28"/>
          <w:lang w:val="sr-Cyrl-RS"/>
        </w:rPr>
        <w:t>ВИСОКА ПОСЛОВНА ШКОЛА СТРУКОВНИХ СТУДИЈА</w:t>
      </w:r>
    </w:p>
    <w:p w:rsidR="000432DE" w:rsidRPr="0030028B" w:rsidRDefault="000432DE" w:rsidP="000432DE">
      <w:pPr>
        <w:jc w:val="center"/>
        <w:rPr>
          <w:b/>
          <w:sz w:val="28"/>
          <w:szCs w:val="28"/>
          <w:lang w:val="sr-Cyrl-RS"/>
        </w:rPr>
      </w:pPr>
      <w:r w:rsidRPr="0030028B">
        <w:rPr>
          <w:b/>
          <w:sz w:val="28"/>
          <w:szCs w:val="28"/>
          <w:lang w:val="sr-Cyrl-RS"/>
        </w:rPr>
        <w:t>НОВИ САД</w:t>
      </w:r>
    </w:p>
    <w:p w:rsidR="000432DE" w:rsidRPr="0030028B" w:rsidRDefault="000432DE" w:rsidP="000432DE">
      <w:pPr>
        <w:jc w:val="both"/>
        <w:rPr>
          <w:sz w:val="22"/>
          <w:lang w:val="sr-Cyrl-RS"/>
        </w:rPr>
      </w:pPr>
      <w:r w:rsidRPr="0030028B">
        <w:rPr>
          <w:sz w:val="22"/>
          <w:lang w:val="sr-Cyrl-RS"/>
        </w:rPr>
        <w:t xml:space="preserve">уписује у </w:t>
      </w:r>
      <w:r w:rsidRPr="0030028B">
        <w:rPr>
          <w:sz w:val="22"/>
        </w:rPr>
        <w:t>I</w:t>
      </w:r>
      <w:r w:rsidRPr="0030028B">
        <w:rPr>
          <w:sz w:val="22"/>
          <w:lang w:val="sr-Cyrl-RS"/>
        </w:rPr>
        <w:t xml:space="preserve"> годину студија, школске 201</w:t>
      </w:r>
      <w:r w:rsidR="00DA69D1">
        <w:rPr>
          <w:sz w:val="22"/>
          <w:lang w:val="sr-Cyrl-RS"/>
        </w:rPr>
        <w:t>7</w:t>
      </w:r>
      <w:r w:rsidRPr="0030028B">
        <w:rPr>
          <w:sz w:val="22"/>
          <w:lang w:val="sr-Cyrl-RS"/>
        </w:rPr>
        <w:t>/1</w:t>
      </w:r>
      <w:r w:rsidR="00DA69D1">
        <w:rPr>
          <w:sz w:val="22"/>
          <w:lang w:val="sr-Cyrl-RS"/>
        </w:rPr>
        <w:t>8</w:t>
      </w:r>
      <w:r w:rsidRPr="0030028B">
        <w:rPr>
          <w:sz w:val="22"/>
          <w:lang w:val="sr-Cyrl-RS"/>
        </w:rPr>
        <w:t>. године на основне струковне студије, укупно</w:t>
      </w:r>
      <w:r>
        <w:rPr>
          <w:sz w:val="22"/>
          <w:lang w:val="sr-Cyrl-RS"/>
        </w:rPr>
        <w:t xml:space="preserve"> </w:t>
      </w:r>
      <w:r w:rsidR="00DA69D1">
        <w:rPr>
          <w:sz w:val="22"/>
          <w:lang w:val="sr-Cyrl-RS"/>
        </w:rPr>
        <w:t>580</w:t>
      </w:r>
      <w:r w:rsidR="00417737">
        <w:rPr>
          <w:sz w:val="22"/>
          <w:lang w:val="sr-Latn-ME"/>
        </w:rPr>
        <w:t xml:space="preserve"> </w:t>
      </w:r>
      <w:r w:rsidRPr="0030028B">
        <w:rPr>
          <w:sz w:val="22"/>
          <w:lang w:val="sr-Cyrl-RS"/>
        </w:rPr>
        <w:t>студената</w:t>
      </w:r>
      <w:r>
        <w:rPr>
          <w:sz w:val="22"/>
          <w:lang w:val="sr-Cyrl-RS"/>
        </w:rPr>
        <w:t>.</w:t>
      </w:r>
    </w:p>
    <w:p w:rsidR="000432DE" w:rsidRPr="0030028B" w:rsidRDefault="000432DE" w:rsidP="000432DE">
      <w:pPr>
        <w:spacing w:before="120"/>
        <w:rPr>
          <w:sz w:val="22"/>
          <w:lang w:val="sr-Cyrl-RS"/>
        </w:rPr>
      </w:pPr>
      <w:r w:rsidRPr="0030028B">
        <w:rPr>
          <w:sz w:val="22"/>
          <w:lang w:val="sr-Cyrl-RS"/>
        </w:rPr>
        <w:t>Основне струковне студије трају 3 (три) године, 6 (шест) семестара, у обиму од 180 ЕСПБ.</w:t>
      </w:r>
    </w:p>
    <w:p w:rsidR="000432DE" w:rsidRPr="0030028B" w:rsidRDefault="000432DE" w:rsidP="000432DE">
      <w:pPr>
        <w:spacing w:before="120"/>
        <w:rPr>
          <w:sz w:val="22"/>
          <w:lang w:val="sr-Cyrl-RS"/>
        </w:rPr>
      </w:pPr>
      <w:r w:rsidRPr="0030028B">
        <w:rPr>
          <w:sz w:val="22"/>
          <w:lang w:val="sr-Cyrl-RS"/>
        </w:rPr>
        <w:t>Број слободних места за упис студената, по студијским програмима:</w:t>
      </w:r>
    </w:p>
    <w:p w:rsidR="000432DE" w:rsidRPr="003B509B" w:rsidRDefault="000432DE" w:rsidP="000432DE">
      <w:pPr>
        <w:rPr>
          <w:sz w:val="16"/>
          <w:szCs w:val="16"/>
          <w:lang w:val="sr-Cyrl-RS"/>
        </w:rPr>
      </w:pPr>
    </w:p>
    <w:tbl>
      <w:tblPr>
        <w:tblStyle w:val="TableGrid"/>
        <w:tblW w:w="0" w:type="auto"/>
        <w:jc w:val="center"/>
        <w:tblLook w:val="04A0" w:firstRow="1" w:lastRow="0" w:firstColumn="1" w:lastColumn="0" w:noHBand="0" w:noVBand="1"/>
      </w:tblPr>
      <w:tblGrid>
        <w:gridCol w:w="557"/>
        <w:gridCol w:w="4239"/>
        <w:gridCol w:w="1828"/>
        <w:gridCol w:w="1828"/>
        <w:gridCol w:w="1396"/>
      </w:tblGrid>
      <w:tr w:rsidR="000432DE" w:rsidRPr="0030028B" w:rsidTr="00447526">
        <w:trPr>
          <w:jc w:val="center"/>
        </w:trPr>
        <w:tc>
          <w:tcPr>
            <w:tcW w:w="557" w:type="dxa"/>
          </w:tcPr>
          <w:p w:rsidR="000432DE" w:rsidRPr="0030028B" w:rsidRDefault="000432DE" w:rsidP="00447526">
            <w:pPr>
              <w:jc w:val="center"/>
              <w:rPr>
                <w:sz w:val="18"/>
                <w:szCs w:val="18"/>
                <w:lang w:val="sr-Cyrl-RS"/>
              </w:rPr>
            </w:pPr>
          </w:p>
          <w:p w:rsidR="000432DE" w:rsidRPr="0030028B" w:rsidRDefault="000432DE" w:rsidP="00447526">
            <w:pPr>
              <w:jc w:val="center"/>
              <w:rPr>
                <w:sz w:val="18"/>
                <w:szCs w:val="18"/>
                <w:lang w:val="sr-Cyrl-RS"/>
              </w:rPr>
            </w:pPr>
            <w:r w:rsidRPr="0030028B">
              <w:rPr>
                <w:sz w:val="18"/>
                <w:szCs w:val="18"/>
                <w:lang w:val="sr-Cyrl-RS"/>
              </w:rPr>
              <w:t>Ред.</w:t>
            </w:r>
          </w:p>
          <w:p w:rsidR="000432DE" w:rsidRPr="0030028B" w:rsidRDefault="000432DE" w:rsidP="00447526">
            <w:pPr>
              <w:jc w:val="center"/>
              <w:rPr>
                <w:sz w:val="18"/>
                <w:szCs w:val="18"/>
                <w:lang w:val="sr-Cyrl-RS"/>
              </w:rPr>
            </w:pPr>
            <w:r w:rsidRPr="0030028B">
              <w:rPr>
                <w:sz w:val="18"/>
                <w:szCs w:val="18"/>
                <w:lang w:val="sr-Cyrl-RS"/>
              </w:rPr>
              <w:t>бр.</w:t>
            </w:r>
          </w:p>
        </w:tc>
        <w:tc>
          <w:tcPr>
            <w:tcW w:w="4239" w:type="dxa"/>
          </w:tcPr>
          <w:p w:rsidR="000432DE" w:rsidRPr="0030028B" w:rsidRDefault="000432DE" w:rsidP="00447526">
            <w:pPr>
              <w:jc w:val="center"/>
              <w:rPr>
                <w:sz w:val="20"/>
                <w:szCs w:val="20"/>
                <w:lang w:val="sr-Cyrl-RS"/>
              </w:rPr>
            </w:pPr>
          </w:p>
          <w:p w:rsidR="000432DE" w:rsidRPr="0030028B" w:rsidRDefault="000432DE" w:rsidP="00447526">
            <w:pPr>
              <w:jc w:val="center"/>
              <w:rPr>
                <w:sz w:val="20"/>
                <w:szCs w:val="20"/>
                <w:lang w:val="sr-Cyrl-RS"/>
              </w:rPr>
            </w:pPr>
            <w:r w:rsidRPr="0030028B">
              <w:rPr>
                <w:sz w:val="20"/>
                <w:szCs w:val="20"/>
                <w:lang w:val="sr-Cyrl-RS"/>
              </w:rPr>
              <w:t>Студијски програм</w:t>
            </w:r>
          </w:p>
        </w:tc>
        <w:tc>
          <w:tcPr>
            <w:tcW w:w="1828" w:type="dxa"/>
          </w:tcPr>
          <w:p w:rsidR="000432DE" w:rsidRPr="0030028B" w:rsidRDefault="000432DE" w:rsidP="00447526">
            <w:pPr>
              <w:jc w:val="center"/>
              <w:rPr>
                <w:sz w:val="18"/>
                <w:szCs w:val="18"/>
                <w:lang w:val="sr-Cyrl-RS"/>
              </w:rPr>
            </w:pPr>
            <w:r w:rsidRPr="0030028B">
              <w:rPr>
                <w:sz w:val="18"/>
                <w:szCs w:val="18"/>
                <w:lang w:val="sr-Cyrl-RS"/>
              </w:rPr>
              <w:t>Број</w:t>
            </w:r>
          </w:p>
          <w:p w:rsidR="000432DE" w:rsidRDefault="000432DE" w:rsidP="00447526">
            <w:pPr>
              <w:jc w:val="center"/>
              <w:rPr>
                <w:sz w:val="18"/>
                <w:szCs w:val="18"/>
                <w:lang w:val="sr-Cyrl-RS"/>
              </w:rPr>
            </w:pPr>
            <w:r>
              <w:rPr>
                <w:sz w:val="18"/>
                <w:szCs w:val="18"/>
                <w:lang w:val="sr-Cyrl-RS"/>
              </w:rPr>
              <w:t>Буџетских</w:t>
            </w:r>
          </w:p>
          <w:p w:rsidR="000432DE" w:rsidRPr="0030028B" w:rsidRDefault="000432DE" w:rsidP="00447526">
            <w:pPr>
              <w:jc w:val="center"/>
              <w:rPr>
                <w:sz w:val="18"/>
                <w:szCs w:val="18"/>
                <w:lang w:val="sr-Cyrl-RS"/>
              </w:rPr>
            </w:pPr>
            <w:r w:rsidRPr="0030028B">
              <w:rPr>
                <w:sz w:val="18"/>
                <w:szCs w:val="18"/>
                <w:lang w:val="sr-Cyrl-RS"/>
              </w:rPr>
              <w:t>студената</w:t>
            </w:r>
          </w:p>
        </w:tc>
        <w:tc>
          <w:tcPr>
            <w:tcW w:w="1828" w:type="dxa"/>
          </w:tcPr>
          <w:p w:rsidR="000432DE" w:rsidRPr="0030028B" w:rsidRDefault="000432DE" w:rsidP="00447526">
            <w:pPr>
              <w:jc w:val="center"/>
              <w:rPr>
                <w:sz w:val="18"/>
                <w:szCs w:val="18"/>
                <w:lang w:val="sr-Cyrl-RS"/>
              </w:rPr>
            </w:pPr>
            <w:r w:rsidRPr="0030028B">
              <w:rPr>
                <w:sz w:val="18"/>
                <w:szCs w:val="18"/>
                <w:lang w:val="sr-Cyrl-RS"/>
              </w:rPr>
              <w:t>Број</w:t>
            </w:r>
          </w:p>
          <w:p w:rsidR="000432DE" w:rsidRPr="0030028B" w:rsidRDefault="000432DE" w:rsidP="00447526">
            <w:pPr>
              <w:jc w:val="center"/>
              <w:rPr>
                <w:sz w:val="18"/>
                <w:szCs w:val="18"/>
                <w:lang w:val="sr-Cyrl-RS"/>
              </w:rPr>
            </w:pPr>
            <w:r w:rsidRPr="0030028B">
              <w:rPr>
                <w:sz w:val="18"/>
                <w:szCs w:val="18"/>
                <w:lang w:val="sr-Cyrl-RS"/>
              </w:rPr>
              <w:t>самофинансирајућих студената</w:t>
            </w:r>
          </w:p>
        </w:tc>
        <w:tc>
          <w:tcPr>
            <w:tcW w:w="1396" w:type="dxa"/>
          </w:tcPr>
          <w:p w:rsidR="000432DE" w:rsidRPr="0030028B" w:rsidRDefault="000432DE" w:rsidP="00447526">
            <w:pPr>
              <w:jc w:val="center"/>
              <w:rPr>
                <w:sz w:val="18"/>
                <w:szCs w:val="18"/>
                <w:lang w:val="sr-Cyrl-RS"/>
              </w:rPr>
            </w:pPr>
            <w:r w:rsidRPr="0030028B">
              <w:rPr>
                <w:sz w:val="18"/>
                <w:szCs w:val="18"/>
                <w:lang w:val="sr-Cyrl-RS"/>
              </w:rPr>
              <w:t>Укупан број студената за упис</w:t>
            </w:r>
          </w:p>
        </w:tc>
      </w:tr>
      <w:tr w:rsidR="000432DE" w:rsidRPr="0030028B" w:rsidTr="00447526">
        <w:trPr>
          <w:jc w:val="center"/>
        </w:trPr>
        <w:tc>
          <w:tcPr>
            <w:tcW w:w="557" w:type="dxa"/>
          </w:tcPr>
          <w:p w:rsidR="000432DE" w:rsidRPr="0030028B" w:rsidRDefault="000432DE" w:rsidP="00447526">
            <w:pPr>
              <w:rPr>
                <w:sz w:val="22"/>
                <w:lang w:val="sr-Cyrl-RS"/>
              </w:rPr>
            </w:pPr>
            <w:r w:rsidRPr="0030028B">
              <w:rPr>
                <w:sz w:val="22"/>
                <w:lang w:val="sr-Cyrl-RS"/>
              </w:rPr>
              <w:t>1.</w:t>
            </w:r>
          </w:p>
        </w:tc>
        <w:tc>
          <w:tcPr>
            <w:tcW w:w="4239" w:type="dxa"/>
          </w:tcPr>
          <w:p w:rsidR="000432DE" w:rsidRPr="0030028B" w:rsidRDefault="00DA69D1" w:rsidP="00DA69D1">
            <w:pPr>
              <w:rPr>
                <w:sz w:val="22"/>
                <w:lang w:val="sr-Cyrl-RS"/>
              </w:rPr>
            </w:pPr>
            <w:r>
              <w:rPr>
                <w:sz w:val="22"/>
                <w:lang w:val="sr-Cyrl-RS"/>
              </w:rPr>
              <w:t xml:space="preserve">ФИНАНСИЈЕ </w:t>
            </w:r>
            <w:r w:rsidR="000432DE" w:rsidRPr="0030028B">
              <w:rPr>
                <w:sz w:val="22"/>
                <w:lang w:val="sr-Cyrl-RS"/>
              </w:rPr>
              <w:t xml:space="preserve">И </w:t>
            </w:r>
            <w:r>
              <w:rPr>
                <w:sz w:val="22"/>
                <w:lang w:val="sr-Cyrl-RS"/>
              </w:rPr>
              <w:t>БАНКАРСТВО</w:t>
            </w:r>
          </w:p>
        </w:tc>
        <w:tc>
          <w:tcPr>
            <w:tcW w:w="1828" w:type="dxa"/>
          </w:tcPr>
          <w:p w:rsidR="000432DE" w:rsidRPr="007D2943" w:rsidRDefault="00DA69D1" w:rsidP="00447526">
            <w:pPr>
              <w:jc w:val="center"/>
              <w:rPr>
                <w:sz w:val="22"/>
                <w:lang w:val="sr-Cyrl-RS"/>
              </w:rPr>
            </w:pPr>
            <w:r>
              <w:rPr>
                <w:sz w:val="22"/>
                <w:lang w:val="sr-Cyrl-RS"/>
              </w:rPr>
              <w:t>55</w:t>
            </w:r>
          </w:p>
        </w:tc>
        <w:tc>
          <w:tcPr>
            <w:tcW w:w="1828" w:type="dxa"/>
          </w:tcPr>
          <w:p w:rsidR="000432DE" w:rsidRPr="002A67C1" w:rsidRDefault="00DA69D1" w:rsidP="00447526">
            <w:pPr>
              <w:jc w:val="center"/>
              <w:rPr>
                <w:sz w:val="22"/>
                <w:lang w:val="sr-Cyrl-RS"/>
              </w:rPr>
            </w:pPr>
            <w:r>
              <w:rPr>
                <w:sz w:val="22"/>
                <w:lang w:val="sr-Cyrl-RS"/>
              </w:rPr>
              <w:t>95</w:t>
            </w:r>
          </w:p>
        </w:tc>
        <w:tc>
          <w:tcPr>
            <w:tcW w:w="1396" w:type="dxa"/>
          </w:tcPr>
          <w:p w:rsidR="000432DE" w:rsidRPr="0030028B" w:rsidRDefault="00DA69D1" w:rsidP="00447526">
            <w:pPr>
              <w:jc w:val="center"/>
              <w:rPr>
                <w:sz w:val="22"/>
                <w:lang w:val="sr-Cyrl-RS"/>
              </w:rPr>
            </w:pPr>
            <w:r>
              <w:rPr>
                <w:sz w:val="22"/>
                <w:lang w:val="sr-Cyrl-RS"/>
              </w:rPr>
              <w:t>150</w:t>
            </w:r>
          </w:p>
        </w:tc>
      </w:tr>
      <w:tr w:rsidR="000432DE" w:rsidRPr="0030028B" w:rsidTr="00447526">
        <w:trPr>
          <w:jc w:val="center"/>
        </w:trPr>
        <w:tc>
          <w:tcPr>
            <w:tcW w:w="557" w:type="dxa"/>
          </w:tcPr>
          <w:p w:rsidR="000432DE" w:rsidRPr="0030028B" w:rsidRDefault="000432DE" w:rsidP="00447526">
            <w:pPr>
              <w:rPr>
                <w:sz w:val="22"/>
                <w:lang w:val="sr-Cyrl-RS"/>
              </w:rPr>
            </w:pPr>
            <w:r w:rsidRPr="0030028B">
              <w:rPr>
                <w:sz w:val="22"/>
                <w:lang w:val="sr-Cyrl-RS"/>
              </w:rPr>
              <w:t>2.</w:t>
            </w:r>
          </w:p>
        </w:tc>
        <w:tc>
          <w:tcPr>
            <w:tcW w:w="4239" w:type="dxa"/>
          </w:tcPr>
          <w:p w:rsidR="000432DE" w:rsidRPr="0030028B" w:rsidRDefault="000432DE" w:rsidP="00447526">
            <w:pPr>
              <w:rPr>
                <w:sz w:val="22"/>
                <w:lang w:val="sr-Cyrl-RS"/>
              </w:rPr>
            </w:pPr>
            <w:r w:rsidRPr="0030028B">
              <w:rPr>
                <w:sz w:val="22"/>
                <w:lang w:val="sr-Cyrl-RS"/>
              </w:rPr>
              <w:t>ТРГОВИНА И МЕЂУНАРОДНО ПОСЛОВАЊЕ</w:t>
            </w:r>
          </w:p>
        </w:tc>
        <w:tc>
          <w:tcPr>
            <w:tcW w:w="1828" w:type="dxa"/>
          </w:tcPr>
          <w:p w:rsidR="00DA69D1" w:rsidRDefault="00DA69D1" w:rsidP="00447526">
            <w:pPr>
              <w:jc w:val="center"/>
              <w:rPr>
                <w:sz w:val="22"/>
                <w:lang w:val="sr-Cyrl-RS"/>
              </w:rPr>
            </w:pPr>
          </w:p>
          <w:p w:rsidR="000432DE" w:rsidRPr="007D2943" w:rsidRDefault="00DA69D1" w:rsidP="00447526">
            <w:pPr>
              <w:jc w:val="center"/>
              <w:rPr>
                <w:sz w:val="22"/>
                <w:lang w:val="sr-Cyrl-RS"/>
              </w:rPr>
            </w:pPr>
            <w:r>
              <w:rPr>
                <w:sz w:val="22"/>
                <w:lang w:val="sr-Cyrl-RS"/>
              </w:rPr>
              <w:t>55</w:t>
            </w:r>
          </w:p>
        </w:tc>
        <w:tc>
          <w:tcPr>
            <w:tcW w:w="1828" w:type="dxa"/>
          </w:tcPr>
          <w:p w:rsidR="00DA69D1" w:rsidRDefault="00DA69D1" w:rsidP="00447526">
            <w:pPr>
              <w:jc w:val="center"/>
              <w:rPr>
                <w:sz w:val="22"/>
                <w:lang w:val="sr-Cyrl-RS"/>
              </w:rPr>
            </w:pPr>
          </w:p>
          <w:p w:rsidR="000432DE" w:rsidRPr="002A67C1" w:rsidRDefault="00DA69D1" w:rsidP="00447526">
            <w:pPr>
              <w:jc w:val="center"/>
              <w:rPr>
                <w:sz w:val="22"/>
                <w:lang w:val="sr-Cyrl-RS"/>
              </w:rPr>
            </w:pPr>
            <w:r>
              <w:rPr>
                <w:sz w:val="22"/>
                <w:lang w:val="sr-Cyrl-RS"/>
              </w:rPr>
              <w:t>95</w:t>
            </w:r>
          </w:p>
        </w:tc>
        <w:tc>
          <w:tcPr>
            <w:tcW w:w="1396" w:type="dxa"/>
          </w:tcPr>
          <w:p w:rsidR="00DA69D1" w:rsidRDefault="00DA69D1" w:rsidP="00447526">
            <w:pPr>
              <w:jc w:val="center"/>
              <w:rPr>
                <w:sz w:val="22"/>
                <w:lang w:val="sr-Cyrl-RS"/>
              </w:rPr>
            </w:pPr>
          </w:p>
          <w:p w:rsidR="000432DE" w:rsidRPr="0030028B" w:rsidRDefault="00DA69D1" w:rsidP="00447526">
            <w:pPr>
              <w:jc w:val="center"/>
              <w:rPr>
                <w:sz w:val="22"/>
                <w:lang w:val="sr-Cyrl-RS"/>
              </w:rPr>
            </w:pPr>
            <w:r>
              <w:rPr>
                <w:sz w:val="22"/>
                <w:lang w:val="sr-Cyrl-RS"/>
              </w:rPr>
              <w:t>150</w:t>
            </w:r>
          </w:p>
        </w:tc>
      </w:tr>
      <w:tr w:rsidR="000432DE" w:rsidRPr="0030028B" w:rsidTr="00447526">
        <w:trPr>
          <w:jc w:val="center"/>
        </w:trPr>
        <w:tc>
          <w:tcPr>
            <w:tcW w:w="557" w:type="dxa"/>
          </w:tcPr>
          <w:p w:rsidR="000432DE" w:rsidRPr="0030028B" w:rsidRDefault="000432DE" w:rsidP="00447526">
            <w:pPr>
              <w:rPr>
                <w:sz w:val="22"/>
                <w:lang w:val="sr-Cyrl-RS"/>
              </w:rPr>
            </w:pPr>
            <w:r w:rsidRPr="0030028B">
              <w:rPr>
                <w:sz w:val="22"/>
                <w:lang w:val="sr-Cyrl-RS"/>
              </w:rPr>
              <w:t>3.</w:t>
            </w:r>
          </w:p>
        </w:tc>
        <w:tc>
          <w:tcPr>
            <w:tcW w:w="4239" w:type="dxa"/>
          </w:tcPr>
          <w:p w:rsidR="000432DE" w:rsidRPr="0030028B" w:rsidRDefault="00DA69D1" w:rsidP="00447526">
            <w:pPr>
              <w:rPr>
                <w:sz w:val="22"/>
                <w:lang w:val="sr-Cyrl-RS"/>
              </w:rPr>
            </w:pPr>
            <w:r w:rsidRPr="0030028B">
              <w:rPr>
                <w:sz w:val="22"/>
                <w:lang w:val="sr-Cyrl-RS"/>
              </w:rPr>
              <w:t>ТУРИЗАМ И ХОТЕЛИЈЕРСТВО</w:t>
            </w:r>
          </w:p>
        </w:tc>
        <w:tc>
          <w:tcPr>
            <w:tcW w:w="1828" w:type="dxa"/>
          </w:tcPr>
          <w:p w:rsidR="000432DE" w:rsidRPr="007D2943" w:rsidRDefault="00DA69D1" w:rsidP="00447526">
            <w:pPr>
              <w:jc w:val="center"/>
              <w:rPr>
                <w:sz w:val="22"/>
                <w:lang w:val="sr-Cyrl-RS"/>
              </w:rPr>
            </w:pPr>
            <w:r>
              <w:rPr>
                <w:sz w:val="22"/>
                <w:lang w:val="sr-Cyrl-RS"/>
              </w:rPr>
              <w:t>40</w:t>
            </w:r>
          </w:p>
        </w:tc>
        <w:tc>
          <w:tcPr>
            <w:tcW w:w="1828" w:type="dxa"/>
          </w:tcPr>
          <w:p w:rsidR="000432DE" w:rsidRPr="002A67C1" w:rsidRDefault="00DA69D1" w:rsidP="00447526">
            <w:pPr>
              <w:jc w:val="center"/>
              <w:rPr>
                <w:sz w:val="22"/>
                <w:lang w:val="sr-Cyrl-RS"/>
              </w:rPr>
            </w:pPr>
            <w:r>
              <w:rPr>
                <w:sz w:val="22"/>
                <w:lang w:val="sr-Cyrl-RS"/>
              </w:rPr>
              <w:t>80</w:t>
            </w:r>
          </w:p>
        </w:tc>
        <w:tc>
          <w:tcPr>
            <w:tcW w:w="1396" w:type="dxa"/>
          </w:tcPr>
          <w:p w:rsidR="000432DE" w:rsidRPr="0030028B" w:rsidRDefault="002A67C1" w:rsidP="00DA69D1">
            <w:pPr>
              <w:jc w:val="center"/>
              <w:rPr>
                <w:sz w:val="22"/>
                <w:lang w:val="sr-Cyrl-RS"/>
              </w:rPr>
            </w:pPr>
            <w:r>
              <w:rPr>
                <w:sz w:val="22"/>
                <w:lang w:val="sr-Cyrl-RS"/>
              </w:rPr>
              <w:t>1</w:t>
            </w:r>
            <w:r w:rsidR="00DA69D1">
              <w:rPr>
                <w:sz w:val="22"/>
                <w:lang w:val="sr-Cyrl-RS"/>
              </w:rPr>
              <w:t>2</w:t>
            </w:r>
            <w:r>
              <w:rPr>
                <w:sz w:val="22"/>
                <w:lang w:val="sr-Cyrl-RS"/>
              </w:rPr>
              <w:t>0</w:t>
            </w:r>
          </w:p>
        </w:tc>
      </w:tr>
      <w:tr w:rsidR="000432DE" w:rsidRPr="0030028B" w:rsidTr="00447526">
        <w:trPr>
          <w:jc w:val="center"/>
        </w:trPr>
        <w:tc>
          <w:tcPr>
            <w:tcW w:w="557" w:type="dxa"/>
          </w:tcPr>
          <w:p w:rsidR="000432DE" w:rsidRPr="0030028B" w:rsidRDefault="000432DE" w:rsidP="00447526">
            <w:pPr>
              <w:rPr>
                <w:sz w:val="22"/>
                <w:lang w:val="sr-Cyrl-RS"/>
              </w:rPr>
            </w:pPr>
            <w:r w:rsidRPr="0030028B">
              <w:rPr>
                <w:sz w:val="22"/>
                <w:lang w:val="sr-Cyrl-RS"/>
              </w:rPr>
              <w:t>4.</w:t>
            </w:r>
          </w:p>
        </w:tc>
        <w:tc>
          <w:tcPr>
            <w:tcW w:w="4239" w:type="dxa"/>
          </w:tcPr>
          <w:p w:rsidR="000432DE" w:rsidRPr="0030028B" w:rsidRDefault="00DA69D1" w:rsidP="00447526">
            <w:pPr>
              <w:rPr>
                <w:sz w:val="22"/>
                <w:lang w:val="sr-Cyrl-RS"/>
              </w:rPr>
            </w:pPr>
            <w:r>
              <w:rPr>
                <w:sz w:val="22"/>
                <w:lang w:val="sr-Cyrl-RS"/>
              </w:rPr>
              <w:t>ПРЕДУЗЕТНИШТВО</w:t>
            </w:r>
          </w:p>
        </w:tc>
        <w:tc>
          <w:tcPr>
            <w:tcW w:w="1828" w:type="dxa"/>
          </w:tcPr>
          <w:p w:rsidR="000432DE" w:rsidRPr="007D2943" w:rsidRDefault="00DA69D1" w:rsidP="00447526">
            <w:pPr>
              <w:jc w:val="center"/>
              <w:rPr>
                <w:sz w:val="22"/>
                <w:lang w:val="sr-Cyrl-RS"/>
              </w:rPr>
            </w:pPr>
            <w:r>
              <w:rPr>
                <w:sz w:val="22"/>
                <w:lang w:val="sr-Cyrl-RS"/>
              </w:rPr>
              <w:t>25</w:t>
            </w:r>
          </w:p>
        </w:tc>
        <w:tc>
          <w:tcPr>
            <w:tcW w:w="1828" w:type="dxa"/>
          </w:tcPr>
          <w:p w:rsidR="000432DE" w:rsidRPr="002A67C1" w:rsidRDefault="00DA69D1" w:rsidP="00447526">
            <w:pPr>
              <w:jc w:val="center"/>
              <w:rPr>
                <w:sz w:val="22"/>
                <w:lang w:val="sr-Cyrl-RS"/>
              </w:rPr>
            </w:pPr>
            <w:r>
              <w:rPr>
                <w:sz w:val="22"/>
                <w:lang w:val="sr-Cyrl-RS"/>
              </w:rPr>
              <w:t>55</w:t>
            </w:r>
          </w:p>
        </w:tc>
        <w:tc>
          <w:tcPr>
            <w:tcW w:w="1396" w:type="dxa"/>
          </w:tcPr>
          <w:p w:rsidR="000432DE" w:rsidRPr="0030028B" w:rsidRDefault="00DA69D1" w:rsidP="00447526">
            <w:pPr>
              <w:jc w:val="center"/>
              <w:rPr>
                <w:sz w:val="22"/>
                <w:lang w:val="sr-Cyrl-RS"/>
              </w:rPr>
            </w:pPr>
            <w:r>
              <w:rPr>
                <w:sz w:val="22"/>
                <w:lang w:val="sr-Cyrl-RS"/>
              </w:rPr>
              <w:t>80</w:t>
            </w:r>
          </w:p>
        </w:tc>
      </w:tr>
      <w:tr w:rsidR="000432DE" w:rsidRPr="0030028B" w:rsidTr="00447526">
        <w:trPr>
          <w:jc w:val="center"/>
        </w:trPr>
        <w:tc>
          <w:tcPr>
            <w:tcW w:w="557" w:type="dxa"/>
          </w:tcPr>
          <w:p w:rsidR="000432DE" w:rsidRPr="0030028B" w:rsidRDefault="000432DE" w:rsidP="00447526">
            <w:pPr>
              <w:rPr>
                <w:sz w:val="22"/>
                <w:lang w:val="sr-Cyrl-RS"/>
              </w:rPr>
            </w:pPr>
            <w:r>
              <w:rPr>
                <w:sz w:val="22"/>
                <w:lang w:val="sr-Cyrl-RS"/>
              </w:rPr>
              <w:t>5.</w:t>
            </w:r>
          </w:p>
        </w:tc>
        <w:tc>
          <w:tcPr>
            <w:tcW w:w="4239" w:type="dxa"/>
          </w:tcPr>
          <w:p w:rsidR="000432DE" w:rsidRPr="0030028B" w:rsidRDefault="000432DE" w:rsidP="00447526">
            <w:pPr>
              <w:rPr>
                <w:sz w:val="22"/>
                <w:lang w:val="sr-Cyrl-RS"/>
              </w:rPr>
            </w:pPr>
            <w:r>
              <w:rPr>
                <w:sz w:val="22"/>
                <w:lang w:val="sr-Cyrl-RS"/>
              </w:rPr>
              <w:t>ПРИМЕЊЕНА ИНФОРМАТИКА</w:t>
            </w:r>
          </w:p>
        </w:tc>
        <w:tc>
          <w:tcPr>
            <w:tcW w:w="1828" w:type="dxa"/>
          </w:tcPr>
          <w:p w:rsidR="000432DE" w:rsidRPr="00DA69D1" w:rsidRDefault="00DA69D1" w:rsidP="00447526">
            <w:pPr>
              <w:jc w:val="center"/>
              <w:rPr>
                <w:sz w:val="22"/>
                <w:lang w:val="sr-Cyrl-RS"/>
              </w:rPr>
            </w:pPr>
            <w:r>
              <w:rPr>
                <w:sz w:val="22"/>
                <w:lang w:val="sr-Cyrl-RS"/>
              </w:rPr>
              <w:t>25</w:t>
            </w:r>
          </w:p>
        </w:tc>
        <w:tc>
          <w:tcPr>
            <w:tcW w:w="1828" w:type="dxa"/>
          </w:tcPr>
          <w:p w:rsidR="000432DE" w:rsidRPr="00DA69D1" w:rsidRDefault="00DA69D1" w:rsidP="00447526">
            <w:pPr>
              <w:jc w:val="center"/>
              <w:rPr>
                <w:sz w:val="22"/>
                <w:lang w:val="sr-Cyrl-RS"/>
              </w:rPr>
            </w:pPr>
            <w:r>
              <w:rPr>
                <w:sz w:val="22"/>
                <w:lang w:val="sr-Cyrl-RS"/>
              </w:rPr>
              <w:t>55</w:t>
            </w:r>
          </w:p>
        </w:tc>
        <w:tc>
          <w:tcPr>
            <w:tcW w:w="1396" w:type="dxa"/>
          </w:tcPr>
          <w:p w:rsidR="000432DE" w:rsidRPr="00224D5A" w:rsidRDefault="00224D5A" w:rsidP="00447526">
            <w:pPr>
              <w:jc w:val="center"/>
              <w:rPr>
                <w:sz w:val="22"/>
                <w:lang w:val="sr-Latn-ME"/>
              </w:rPr>
            </w:pPr>
            <w:r>
              <w:rPr>
                <w:sz w:val="22"/>
                <w:lang w:val="sr-Latn-ME"/>
              </w:rPr>
              <w:t>80</w:t>
            </w:r>
          </w:p>
        </w:tc>
      </w:tr>
      <w:tr w:rsidR="000432DE" w:rsidRPr="0030028B" w:rsidTr="00447526">
        <w:trPr>
          <w:jc w:val="center"/>
        </w:trPr>
        <w:tc>
          <w:tcPr>
            <w:tcW w:w="4796" w:type="dxa"/>
            <w:gridSpan w:val="2"/>
          </w:tcPr>
          <w:p w:rsidR="000432DE" w:rsidRPr="0030028B" w:rsidRDefault="000432DE" w:rsidP="00447526">
            <w:pPr>
              <w:jc w:val="right"/>
              <w:rPr>
                <w:sz w:val="22"/>
                <w:lang w:val="sr-Cyrl-RS"/>
              </w:rPr>
            </w:pPr>
            <w:r w:rsidRPr="0030028B">
              <w:rPr>
                <w:sz w:val="22"/>
                <w:lang w:val="sr-Cyrl-RS"/>
              </w:rPr>
              <w:t>УКУПНО</w:t>
            </w:r>
          </w:p>
        </w:tc>
        <w:tc>
          <w:tcPr>
            <w:tcW w:w="1828" w:type="dxa"/>
          </w:tcPr>
          <w:p w:rsidR="000432DE" w:rsidRPr="00F1525A" w:rsidRDefault="00DA69D1" w:rsidP="00447526">
            <w:pPr>
              <w:jc w:val="center"/>
              <w:rPr>
                <w:sz w:val="22"/>
                <w:lang w:val="sr-Cyrl-RS"/>
              </w:rPr>
            </w:pPr>
            <w:r>
              <w:rPr>
                <w:sz w:val="22"/>
                <w:lang w:val="sr-Cyrl-RS"/>
              </w:rPr>
              <w:t>200</w:t>
            </w:r>
          </w:p>
        </w:tc>
        <w:tc>
          <w:tcPr>
            <w:tcW w:w="1828" w:type="dxa"/>
          </w:tcPr>
          <w:p w:rsidR="000432DE" w:rsidRPr="007D2943" w:rsidRDefault="00DA69D1" w:rsidP="00447526">
            <w:pPr>
              <w:jc w:val="center"/>
              <w:rPr>
                <w:sz w:val="22"/>
                <w:lang w:val="sr-Cyrl-RS"/>
              </w:rPr>
            </w:pPr>
            <w:r>
              <w:rPr>
                <w:sz w:val="22"/>
                <w:lang w:val="sr-Cyrl-RS"/>
              </w:rPr>
              <w:t>380</w:t>
            </w:r>
          </w:p>
        </w:tc>
        <w:tc>
          <w:tcPr>
            <w:tcW w:w="1396" w:type="dxa"/>
          </w:tcPr>
          <w:p w:rsidR="000432DE" w:rsidRPr="00DA69D1" w:rsidRDefault="00DA69D1" w:rsidP="00447526">
            <w:pPr>
              <w:jc w:val="center"/>
              <w:rPr>
                <w:sz w:val="22"/>
                <w:lang w:val="sr-Cyrl-RS"/>
              </w:rPr>
            </w:pPr>
            <w:r>
              <w:rPr>
                <w:sz w:val="22"/>
                <w:lang w:val="sr-Cyrl-RS"/>
              </w:rPr>
              <w:t>580</w:t>
            </w:r>
          </w:p>
        </w:tc>
      </w:tr>
    </w:tbl>
    <w:p w:rsidR="00EF3871" w:rsidRDefault="000432DE" w:rsidP="000432DE">
      <w:pPr>
        <w:rPr>
          <w:sz w:val="18"/>
          <w:szCs w:val="18"/>
          <w:lang w:val="sr-Latn-RS"/>
        </w:rPr>
      </w:pPr>
      <w:r w:rsidRPr="00F1525A">
        <w:rPr>
          <w:sz w:val="18"/>
          <w:szCs w:val="18"/>
          <w:lang w:val="sr-Latn-RS"/>
        </w:rPr>
        <w:tab/>
      </w:r>
    </w:p>
    <w:p w:rsidR="000432DE" w:rsidRPr="0030028B" w:rsidRDefault="000432DE" w:rsidP="000432DE">
      <w:pPr>
        <w:rPr>
          <w:sz w:val="22"/>
          <w:lang w:val="sr-Cyrl-RS"/>
        </w:rPr>
      </w:pPr>
      <w:r w:rsidRPr="0030028B">
        <w:rPr>
          <w:sz w:val="22"/>
          <w:lang w:val="sr-Cyrl-RS"/>
        </w:rPr>
        <w:t xml:space="preserve">Кандидат се опредељује (конкурише) за ЈЕДАН од </w:t>
      </w:r>
      <w:r>
        <w:rPr>
          <w:sz w:val="22"/>
          <w:lang w:val="sr-Cyrl-RS"/>
        </w:rPr>
        <w:t>пет</w:t>
      </w:r>
      <w:r w:rsidRPr="0030028B">
        <w:rPr>
          <w:sz w:val="22"/>
          <w:lang w:val="sr-Cyrl-RS"/>
        </w:rPr>
        <w:t xml:space="preserve"> наведен</w:t>
      </w:r>
      <w:r w:rsidR="00AC10F9">
        <w:rPr>
          <w:sz w:val="22"/>
          <w:lang w:val="sr-Cyrl-RS"/>
        </w:rPr>
        <w:t>их</w:t>
      </w:r>
      <w:r w:rsidRPr="0030028B">
        <w:rPr>
          <w:sz w:val="22"/>
          <w:lang w:val="sr-Cyrl-RS"/>
        </w:rPr>
        <w:t xml:space="preserve"> студијск</w:t>
      </w:r>
      <w:r w:rsidR="00AC10F9">
        <w:rPr>
          <w:sz w:val="22"/>
          <w:lang w:val="sr-Cyrl-RS"/>
        </w:rPr>
        <w:t>их</w:t>
      </w:r>
      <w:r w:rsidRPr="0030028B">
        <w:rPr>
          <w:sz w:val="22"/>
          <w:lang w:val="sr-Cyrl-RS"/>
        </w:rPr>
        <w:t xml:space="preserve"> програма.</w:t>
      </w:r>
    </w:p>
    <w:p w:rsidR="000432DE" w:rsidRPr="0030028B" w:rsidRDefault="000432DE" w:rsidP="000432DE">
      <w:pPr>
        <w:spacing w:before="60"/>
        <w:jc w:val="both"/>
        <w:rPr>
          <w:sz w:val="22"/>
          <w:lang w:val="sr-Cyrl-RS"/>
        </w:rPr>
      </w:pPr>
      <w:r w:rsidRPr="0030028B">
        <w:rPr>
          <w:sz w:val="22"/>
          <w:lang w:val="sr-Cyrl-RS"/>
        </w:rPr>
        <w:t>Право на конкурс за упис у прву годину студија имају кандидати који имају средње образовање у четворогодишњем или трогодишњем трајању, свих струка-профила.</w:t>
      </w:r>
    </w:p>
    <w:p w:rsidR="000432DE" w:rsidRPr="000432DE" w:rsidRDefault="000432DE" w:rsidP="000432DE">
      <w:pPr>
        <w:spacing w:before="60"/>
        <w:jc w:val="both"/>
        <w:rPr>
          <w:sz w:val="22"/>
          <w:lang w:val="sr-Cyrl-RS"/>
        </w:rPr>
      </w:pPr>
      <w:r w:rsidRPr="000432DE">
        <w:rPr>
          <w:sz w:val="22"/>
          <w:lang w:val="sr-Cyrl-RS"/>
        </w:rPr>
        <w:t>Кандидати који конкуришу за упис, полажу пријемни испит из два предмета, по избору, од седам наведених предмета, изузев кандидата који конкуришу за упис на студијском програму П</w:t>
      </w:r>
      <w:r w:rsidR="005F43E8">
        <w:rPr>
          <w:sz w:val="22"/>
          <w:lang w:val="sr-Cyrl-RS"/>
        </w:rPr>
        <w:t>римењена</w:t>
      </w:r>
      <w:r w:rsidRPr="000432DE">
        <w:rPr>
          <w:sz w:val="22"/>
          <w:lang w:val="sr-Cyrl-RS"/>
        </w:rPr>
        <w:t xml:space="preserve"> информатика који имају обавезу полагања пријемног испита из Математике и Информатике.</w:t>
      </w:r>
    </w:p>
    <w:p w:rsidR="000432DE" w:rsidRPr="0030028B" w:rsidRDefault="000432DE" w:rsidP="000432DE">
      <w:pPr>
        <w:pStyle w:val="ListParagraph"/>
        <w:numPr>
          <w:ilvl w:val="0"/>
          <w:numId w:val="1"/>
        </w:numPr>
        <w:spacing w:before="60"/>
        <w:jc w:val="both"/>
        <w:rPr>
          <w:b/>
          <w:sz w:val="22"/>
          <w:lang w:val="sr-Cyrl-RS"/>
        </w:rPr>
      </w:pPr>
      <w:r w:rsidRPr="0030028B">
        <w:rPr>
          <w:b/>
          <w:sz w:val="22"/>
          <w:lang w:val="sr-Cyrl-RS"/>
        </w:rPr>
        <w:t>Економија,</w:t>
      </w:r>
    </w:p>
    <w:p w:rsidR="000432DE" w:rsidRPr="0030028B" w:rsidRDefault="000432DE" w:rsidP="000432DE">
      <w:pPr>
        <w:pStyle w:val="ListParagraph"/>
        <w:numPr>
          <w:ilvl w:val="0"/>
          <w:numId w:val="1"/>
        </w:numPr>
        <w:jc w:val="both"/>
        <w:rPr>
          <w:b/>
          <w:sz w:val="22"/>
          <w:lang w:val="sr-Cyrl-RS"/>
        </w:rPr>
      </w:pPr>
      <w:r w:rsidRPr="0030028B">
        <w:rPr>
          <w:b/>
          <w:sz w:val="22"/>
          <w:lang w:val="sr-Cyrl-RS"/>
        </w:rPr>
        <w:t>Пословна економија,</w:t>
      </w:r>
    </w:p>
    <w:p w:rsidR="000432DE" w:rsidRPr="0030028B" w:rsidRDefault="000432DE" w:rsidP="000432DE">
      <w:pPr>
        <w:pStyle w:val="ListParagraph"/>
        <w:numPr>
          <w:ilvl w:val="0"/>
          <w:numId w:val="1"/>
        </w:numPr>
        <w:jc w:val="both"/>
        <w:rPr>
          <w:b/>
          <w:sz w:val="22"/>
          <w:lang w:val="sr-Cyrl-RS"/>
        </w:rPr>
      </w:pPr>
      <w:r w:rsidRPr="0030028B">
        <w:rPr>
          <w:b/>
          <w:sz w:val="22"/>
          <w:lang w:val="sr-Cyrl-RS"/>
        </w:rPr>
        <w:t xml:space="preserve">Математика, </w:t>
      </w:r>
    </w:p>
    <w:p w:rsidR="000432DE" w:rsidRPr="0030028B" w:rsidRDefault="000432DE" w:rsidP="000432DE">
      <w:pPr>
        <w:pStyle w:val="ListParagraph"/>
        <w:numPr>
          <w:ilvl w:val="0"/>
          <w:numId w:val="1"/>
        </w:numPr>
        <w:jc w:val="both"/>
        <w:rPr>
          <w:b/>
          <w:sz w:val="22"/>
          <w:lang w:val="sr-Cyrl-RS"/>
        </w:rPr>
      </w:pPr>
      <w:r w:rsidRPr="0030028B">
        <w:rPr>
          <w:b/>
          <w:sz w:val="22"/>
          <w:lang w:val="sr-Cyrl-RS"/>
        </w:rPr>
        <w:t>Информатика,</w:t>
      </w:r>
    </w:p>
    <w:p w:rsidR="000432DE" w:rsidRPr="0030028B" w:rsidRDefault="000432DE" w:rsidP="000432DE">
      <w:pPr>
        <w:pStyle w:val="ListParagraph"/>
        <w:numPr>
          <w:ilvl w:val="0"/>
          <w:numId w:val="1"/>
        </w:numPr>
        <w:jc w:val="both"/>
        <w:rPr>
          <w:b/>
          <w:sz w:val="22"/>
          <w:lang w:val="sr-Cyrl-RS"/>
        </w:rPr>
      </w:pPr>
      <w:r w:rsidRPr="0030028B">
        <w:rPr>
          <w:b/>
          <w:sz w:val="22"/>
          <w:lang w:val="sr-Cyrl-RS"/>
        </w:rPr>
        <w:t>Социологија,</w:t>
      </w:r>
    </w:p>
    <w:p w:rsidR="000432DE" w:rsidRPr="0030028B" w:rsidRDefault="000432DE" w:rsidP="000432DE">
      <w:pPr>
        <w:pStyle w:val="ListParagraph"/>
        <w:numPr>
          <w:ilvl w:val="0"/>
          <w:numId w:val="1"/>
        </w:numPr>
        <w:jc w:val="both"/>
        <w:rPr>
          <w:b/>
          <w:sz w:val="22"/>
          <w:lang w:val="sr-Cyrl-RS"/>
        </w:rPr>
      </w:pPr>
      <w:r w:rsidRPr="0030028B">
        <w:rPr>
          <w:b/>
          <w:sz w:val="22"/>
          <w:lang w:val="sr-Cyrl-RS"/>
        </w:rPr>
        <w:t>Психологија,</w:t>
      </w:r>
    </w:p>
    <w:p w:rsidR="000432DE" w:rsidRPr="0030028B" w:rsidRDefault="000432DE" w:rsidP="000432DE">
      <w:pPr>
        <w:pStyle w:val="ListParagraph"/>
        <w:numPr>
          <w:ilvl w:val="0"/>
          <w:numId w:val="1"/>
        </w:numPr>
        <w:jc w:val="both"/>
        <w:rPr>
          <w:b/>
          <w:sz w:val="22"/>
          <w:lang w:val="sr-Cyrl-RS"/>
        </w:rPr>
      </w:pPr>
      <w:r w:rsidRPr="0030028B">
        <w:rPr>
          <w:b/>
          <w:sz w:val="22"/>
          <w:lang w:val="sr-Cyrl-RS"/>
        </w:rPr>
        <w:t>Географија.</w:t>
      </w:r>
    </w:p>
    <w:p w:rsidR="000432DE" w:rsidRPr="0030028B" w:rsidRDefault="000432DE" w:rsidP="000432DE">
      <w:pPr>
        <w:spacing w:before="60"/>
        <w:jc w:val="both"/>
        <w:rPr>
          <w:sz w:val="22"/>
          <w:lang w:val="sr-Cyrl-RS"/>
        </w:rPr>
      </w:pPr>
      <w:r w:rsidRPr="0030028B">
        <w:rPr>
          <w:sz w:val="22"/>
          <w:lang w:val="sr-Cyrl-RS"/>
        </w:rPr>
        <w:t>Пријемни испит се полаже на српском језику, а кандидат се може, приликом пријаве на конкурс, определити да пријемни испит полаже на једно</w:t>
      </w:r>
      <w:r>
        <w:rPr>
          <w:sz w:val="22"/>
          <w:lang w:val="sr-Cyrl-RS"/>
        </w:rPr>
        <w:t>м од језика националних мањина.</w:t>
      </w:r>
    </w:p>
    <w:p w:rsidR="000432DE" w:rsidRPr="0030028B" w:rsidRDefault="000432DE" w:rsidP="000432DE">
      <w:pPr>
        <w:spacing w:before="60"/>
        <w:jc w:val="both"/>
        <w:rPr>
          <w:sz w:val="22"/>
          <w:lang w:val="sr-Cyrl-RS"/>
        </w:rPr>
      </w:pPr>
      <w:r w:rsidRPr="0030028B">
        <w:rPr>
          <w:sz w:val="22"/>
          <w:lang w:val="sr-Cyrl-RS"/>
        </w:rPr>
        <w:t>Пријемни испит обухвата програмске садржаје одговарајућих предмета средње школе.</w:t>
      </w:r>
    </w:p>
    <w:p w:rsidR="000432DE" w:rsidRPr="0030028B" w:rsidRDefault="000432DE" w:rsidP="000432DE">
      <w:pPr>
        <w:spacing w:before="60"/>
        <w:jc w:val="both"/>
        <w:rPr>
          <w:sz w:val="22"/>
          <w:lang w:val="sr-Cyrl-RS"/>
        </w:rPr>
      </w:pPr>
      <w:r w:rsidRPr="0030028B">
        <w:rPr>
          <w:sz w:val="22"/>
          <w:lang w:val="sr-Cyrl-RS"/>
        </w:rPr>
        <w:t>Успех на пријемном испиту оцењује се до 60 бодова.</w:t>
      </w:r>
    </w:p>
    <w:p w:rsidR="000432DE" w:rsidRPr="0030028B" w:rsidRDefault="000432DE" w:rsidP="000432DE">
      <w:pPr>
        <w:spacing w:before="60"/>
        <w:jc w:val="both"/>
        <w:rPr>
          <w:sz w:val="22"/>
          <w:lang w:val="sr-Cyrl-RS"/>
        </w:rPr>
      </w:pPr>
      <w:r w:rsidRPr="0030028B">
        <w:rPr>
          <w:sz w:val="22"/>
          <w:lang w:val="sr-Cyrl-RS"/>
        </w:rPr>
        <w:t>Општи успех постигнут у средњем образовању бодује се тако што се збир просечних оцена множи са два, те по овом основу кандидат може имати најмање 16, а навише 40 бодова.</w:t>
      </w:r>
    </w:p>
    <w:p w:rsidR="000432DE" w:rsidRPr="0030028B" w:rsidRDefault="000432DE" w:rsidP="000432DE">
      <w:pPr>
        <w:spacing w:before="60"/>
        <w:jc w:val="both"/>
        <w:rPr>
          <w:sz w:val="22"/>
          <w:lang w:val="sr-Cyrl-RS"/>
        </w:rPr>
      </w:pPr>
      <w:r w:rsidRPr="0030028B">
        <w:rPr>
          <w:sz w:val="22"/>
          <w:lang w:val="sr-Cyrl-RS"/>
        </w:rPr>
        <w:t>Уколико кандидат има средње образовање у трогодишњем трајању, општи успех у трећем разреду рачуна се у двоструком износу.</w:t>
      </w:r>
    </w:p>
    <w:p w:rsidR="000432DE" w:rsidRPr="0030028B" w:rsidRDefault="000432DE" w:rsidP="000432DE">
      <w:pPr>
        <w:spacing w:before="60"/>
        <w:jc w:val="both"/>
        <w:rPr>
          <w:sz w:val="22"/>
          <w:lang w:val="sr-Cyrl-RS"/>
        </w:rPr>
      </w:pPr>
      <w:r w:rsidRPr="0030028B">
        <w:rPr>
          <w:sz w:val="22"/>
          <w:lang w:val="sr-Cyrl-RS"/>
        </w:rPr>
        <w:t>Збир бодова остварених на основу успеха из средњег образовања и успеха постигнутог на пријемном испиту одређује место кандидата на ранг листи за упис.</w:t>
      </w:r>
    </w:p>
    <w:p w:rsidR="000432DE" w:rsidRPr="0030028B" w:rsidRDefault="000432DE" w:rsidP="000432DE">
      <w:pPr>
        <w:spacing w:before="60"/>
        <w:jc w:val="both"/>
        <w:rPr>
          <w:sz w:val="22"/>
          <w:lang w:val="sr-Cyrl-RS"/>
        </w:rPr>
      </w:pPr>
      <w:r w:rsidRPr="0030028B">
        <w:rPr>
          <w:sz w:val="22"/>
          <w:lang w:val="sr-Cyrl-RS"/>
        </w:rPr>
        <w:t>Кандидат може бити уписан на терет буџета ако се налази на јединственој ранг листи студијског програма до одобреног броја за упис на терет буџета, а има најмање 51 бод.</w:t>
      </w:r>
    </w:p>
    <w:p w:rsidR="000432DE" w:rsidRPr="0030028B" w:rsidRDefault="000432DE" w:rsidP="000432DE">
      <w:pPr>
        <w:spacing w:before="60"/>
        <w:jc w:val="both"/>
        <w:rPr>
          <w:sz w:val="22"/>
          <w:lang w:val="sr-Cyrl-RS"/>
        </w:rPr>
      </w:pPr>
      <w:r w:rsidRPr="0030028B">
        <w:rPr>
          <w:sz w:val="22"/>
          <w:lang w:val="sr-Cyrl-RS"/>
        </w:rPr>
        <w:t>Кандидат који плаћа школарину може бити уписан уколико се налази на јединственој ранг листи студијског програма до броја одобреног за упис кандидата који плаћају школарину, а има најмање 30 бодова.</w:t>
      </w:r>
    </w:p>
    <w:p w:rsidR="000432DE" w:rsidRPr="0030028B" w:rsidRDefault="000432DE" w:rsidP="000432DE">
      <w:pPr>
        <w:spacing w:before="60"/>
        <w:jc w:val="both"/>
        <w:rPr>
          <w:sz w:val="22"/>
          <w:lang w:val="sr-Cyrl-RS"/>
        </w:rPr>
      </w:pPr>
      <w:r w:rsidRPr="0030028B">
        <w:rPr>
          <w:sz w:val="22"/>
          <w:lang w:val="sr-Cyrl-RS"/>
        </w:rPr>
        <w:t xml:space="preserve">Кандидат је ослобођен полагања пријемног испита из предмета из којег је као ученик трећег или четвртог разреда средње школе освојио једно од прва три места на такмичењу које организује Министарство просвете или на </w:t>
      </w:r>
      <w:r w:rsidRPr="0030028B">
        <w:rPr>
          <w:sz w:val="22"/>
          <w:lang w:val="sr-Cyrl-RS"/>
        </w:rPr>
        <w:lastRenderedPageBreak/>
        <w:t>међународном такмичењу, што доказује дипломом о освојеној награди, коју кандидат прилаже приликом конкурисања. Ово се не односи на награде освојене на републичкој смотри научног и уметничког стваралаштва талената, смотри научних радова, смотри такмичарског карактера и слично.</w:t>
      </w:r>
    </w:p>
    <w:p w:rsidR="000432DE" w:rsidRPr="0030028B" w:rsidRDefault="000432DE" w:rsidP="000432DE">
      <w:pPr>
        <w:spacing w:before="60"/>
        <w:jc w:val="both"/>
        <w:rPr>
          <w:sz w:val="22"/>
          <w:lang w:val="sr-Cyrl-RS"/>
        </w:rPr>
      </w:pPr>
      <w:r w:rsidRPr="0030028B">
        <w:rPr>
          <w:sz w:val="22"/>
          <w:lang w:val="sr-Cyrl-RS"/>
        </w:rPr>
        <w:t>Успех кандидата који је освојио једну од горе поменутих награда вреднује се максималним бројем бодова из тог предмета.</w:t>
      </w:r>
    </w:p>
    <w:p w:rsidR="000432DE" w:rsidRPr="0030028B" w:rsidRDefault="000432DE" w:rsidP="000432DE">
      <w:pPr>
        <w:spacing w:before="60"/>
        <w:jc w:val="both"/>
        <w:rPr>
          <w:sz w:val="22"/>
          <w:lang w:val="sr-Cyrl-RS"/>
        </w:rPr>
      </w:pPr>
      <w:r w:rsidRPr="0030028B">
        <w:rPr>
          <w:sz w:val="22"/>
          <w:lang w:val="sr-Cyrl-RS"/>
        </w:rPr>
        <w:t>Ако се кандидат који је остварио право на упис не упише у року предвиђеном овим конкурсом, Школа ће уписати другог кандидата према редоследу јединствене ранг листе.</w:t>
      </w:r>
    </w:p>
    <w:p w:rsidR="000432DE" w:rsidRPr="0030028B" w:rsidRDefault="000432DE" w:rsidP="003B509B">
      <w:pPr>
        <w:spacing w:before="120"/>
        <w:jc w:val="both"/>
        <w:rPr>
          <w:b/>
          <w:sz w:val="22"/>
          <w:lang w:val="sr-Cyrl-RS"/>
        </w:rPr>
      </w:pPr>
      <w:r w:rsidRPr="0030028B">
        <w:rPr>
          <w:b/>
          <w:sz w:val="22"/>
          <w:lang w:val="sr-Cyrl-RS"/>
        </w:rPr>
        <w:t>ПРВИ КОНКУРСНИ РОК:</w:t>
      </w:r>
    </w:p>
    <w:p w:rsidR="000432DE" w:rsidRPr="0030028B" w:rsidRDefault="000432DE" w:rsidP="000432DE">
      <w:pPr>
        <w:spacing w:before="60"/>
        <w:jc w:val="both"/>
        <w:rPr>
          <w:sz w:val="22"/>
          <w:lang w:val="sr-Cyrl-RS"/>
        </w:rPr>
      </w:pPr>
      <w:r w:rsidRPr="0030028B">
        <w:rPr>
          <w:sz w:val="22"/>
          <w:lang w:val="sr-Cyrl-RS"/>
        </w:rPr>
        <w:t xml:space="preserve">Подношење пријава на конкурс је </w:t>
      </w:r>
      <w:r w:rsidR="00543BB2">
        <w:rPr>
          <w:b/>
          <w:sz w:val="22"/>
          <w:lang w:val="sr-Cyrl-RS"/>
        </w:rPr>
        <w:t>2</w:t>
      </w:r>
      <w:r w:rsidR="00DA69D1">
        <w:rPr>
          <w:b/>
          <w:sz w:val="22"/>
          <w:lang w:val="sr-Cyrl-RS"/>
        </w:rPr>
        <w:t>1</w:t>
      </w:r>
      <w:r w:rsidR="00543BB2">
        <w:rPr>
          <w:b/>
          <w:sz w:val="22"/>
          <w:lang w:val="sr-Cyrl-RS"/>
        </w:rPr>
        <w:t>, 2</w:t>
      </w:r>
      <w:r w:rsidR="00DA69D1">
        <w:rPr>
          <w:b/>
          <w:sz w:val="22"/>
          <w:lang w:val="sr-Cyrl-RS"/>
        </w:rPr>
        <w:t>2</w:t>
      </w:r>
      <w:r w:rsidR="00543BB2">
        <w:rPr>
          <w:b/>
          <w:sz w:val="22"/>
          <w:lang w:val="sr-Cyrl-RS"/>
        </w:rPr>
        <w:t>. и 2</w:t>
      </w:r>
      <w:r w:rsidR="00DA69D1">
        <w:rPr>
          <w:b/>
          <w:sz w:val="22"/>
          <w:lang w:val="sr-Cyrl-RS"/>
        </w:rPr>
        <w:t>3</w:t>
      </w:r>
      <w:r w:rsidR="00543BB2">
        <w:rPr>
          <w:b/>
          <w:sz w:val="22"/>
          <w:lang w:val="sr-Cyrl-RS"/>
        </w:rPr>
        <w:t>. јуна 201</w:t>
      </w:r>
      <w:r w:rsidR="00DA69D1">
        <w:rPr>
          <w:b/>
          <w:sz w:val="22"/>
          <w:lang w:val="sr-Cyrl-RS"/>
        </w:rPr>
        <w:t>7</w:t>
      </w:r>
      <w:r w:rsidR="00543BB2">
        <w:rPr>
          <w:b/>
          <w:sz w:val="22"/>
          <w:lang w:val="sr-Cyrl-RS"/>
        </w:rPr>
        <w:t>.</w:t>
      </w:r>
      <w:r w:rsidRPr="0030028B">
        <w:rPr>
          <w:sz w:val="22"/>
          <w:lang w:val="sr-Cyrl-RS"/>
        </w:rPr>
        <w:t xml:space="preserve"> године,</w:t>
      </w:r>
      <w:r w:rsidR="00417737">
        <w:rPr>
          <w:sz w:val="22"/>
          <w:lang w:val="sr-Latn-ME"/>
        </w:rPr>
        <w:t xml:space="preserve"> o</w:t>
      </w:r>
      <w:r w:rsidR="00417737">
        <w:rPr>
          <w:sz w:val="22"/>
          <w:lang w:val="sr-Cyrl-RS"/>
        </w:rPr>
        <w:t xml:space="preserve">д </w:t>
      </w:r>
      <w:r w:rsidR="00417737" w:rsidRPr="00417737">
        <w:rPr>
          <w:b/>
          <w:sz w:val="22"/>
          <w:lang w:val="sr-Cyrl-RS"/>
        </w:rPr>
        <w:t>8.00</w:t>
      </w:r>
      <w:r w:rsidRPr="0030028B">
        <w:rPr>
          <w:sz w:val="22"/>
          <w:lang w:val="sr-Cyrl-RS"/>
        </w:rPr>
        <w:t xml:space="preserve"> </w:t>
      </w:r>
      <w:r w:rsidR="0044352D">
        <w:rPr>
          <w:sz w:val="22"/>
          <w:lang w:val="sr-Cyrl-RS"/>
        </w:rPr>
        <w:t>до</w:t>
      </w:r>
      <w:r w:rsidRPr="0030028B">
        <w:rPr>
          <w:sz w:val="22"/>
          <w:lang w:val="sr-Cyrl-RS"/>
        </w:rPr>
        <w:t xml:space="preserve"> </w:t>
      </w:r>
      <w:r>
        <w:rPr>
          <w:b/>
          <w:sz w:val="22"/>
          <w:lang w:val="sr-Cyrl-RS"/>
        </w:rPr>
        <w:t>14</w:t>
      </w:r>
      <w:r w:rsidR="00417737">
        <w:rPr>
          <w:b/>
          <w:sz w:val="22"/>
          <w:lang w:val="sr-Cyrl-RS"/>
        </w:rPr>
        <w:t>.</w:t>
      </w:r>
      <w:r>
        <w:rPr>
          <w:b/>
          <w:sz w:val="22"/>
          <w:lang w:val="sr-Cyrl-RS"/>
        </w:rPr>
        <w:t>00</w:t>
      </w:r>
      <w:r w:rsidRPr="0030028B">
        <w:rPr>
          <w:sz w:val="22"/>
          <w:lang w:val="sr-Cyrl-RS"/>
        </w:rPr>
        <w:t xml:space="preserve"> часова.</w:t>
      </w:r>
    </w:p>
    <w:p w:rsidR="000432DE" w:rsidRPr="0030028B" w:rsidRDefault="000432DE" w:rsidP="000432DE">
      <w:pPr>
        <w:spacing w:before="60"/>
        <w:jc w:val="both"/>
        <w:rPr>
          <w:sz w:val="22"/>
          <w:lang w:val="sr-Cyrl-RS"/>
        </w:rPr>
      </w:pPr>
      <w:r w:rsidRPr="0030028B">
        <w:rPr>
          <w:sz w:val="22"/>
          <w:lang w:val="sr-Cyrl-RS"/>
        </w:rPr>
        <w:t xml:space="preserve">Распоред полагања пријемног испита ће бити истакнут на огласној табли и сајту Школе </w:t>
      </w:r>
      <w:r w:rsidR="00543BB2">
        <w:rPr>
          <w:b/>
          <w:sz w:val="22"/>
          <w:lang w:val="sr-Cyrl-RS"/>
        </w:rPr>
        <w:t>2</w:t>
      </w:r>
      <w:r w:rsidR="00DA69D1">
        <w:rPr>
          <w:b/>
          <w:sz w:val="22"/>
          <w:lang w:val="sr-Cyrl-RS"/>
        </w:rPr>
        <w:t>6</w:t>
      </w:r>
      <w:r w:rsidR="00543BB2">
        <w:rPr>
          <w:b/>
          <w:sz w:val="22"/>
          <w:lang w:val="sr-Cyrl-RS"/>
        </w:rPr>
        <w:t>. јуна 201</w:t>
      </w:r>
      <w:r w:rsidR="00DA69D1">
        <w:rPr>
          <w:b/>
          <w:sz w:val="22"/>
          <w:lang w:val="sr-Cyrl-RS"/>
        </w:rPr>
        <w:t>7</w:t>
      </w:r>
      <w:r w:rsidR="00543BB2">
        <w:rPr>
          <w:b/>
          <w:sz w:val="22"/>
          <w:lang w:val="sr-Cyrl-RS"/>
        </w:rPr>
        <w:t>.</w:t>
      </w:r>
      <w:r w:rsidRPr="0030028B">
        <w:rPr>
          <w:sz w:val="22"/>
          <w:lang w:val="sr-Cyrl-RS"/>
        </w:rPr>
        <w:t xml:space="preserve"> године.</w:t>
      </w:r>
    </w:p>
    <w:p w:rsidR="000432DE" w:rsidRPr="0030028B" w:rsidRDefault="000432DE" w:rsidP="000432DE">
      <w:pPr>
        <w:spacing w:before="60"/>
        <w:jc w:val="both"/>
        <w:rPr>
          <w:sz w:val="22"/>
          <w:lang w:val="sr-Cyrl-RS"/>
        </w:rPr>
      </w:pPr>
      <w:r w:rsidRPr="0030028B">
        <w:rPr>
          <w:sz w:val="22"/>
          <w:lang w:val="sr-Cyrl-RS"/>
        </w:rPr>
        <w:t xml:space="preserve">Пријемни испит полаже </w:t>
      </w:r>
      <w:r w:rsidRPr="006266A0">
        <w:rPr>
          <w:sz w:val="22"/>
          <w:lang w:val="sr-Cyrl-RS"/>
        </w:rPr>
        <w:t xml:space="preserve">се </w:t>
      </w:r>
      <w:r w:rsidR="00DA69D1" w:rsidRPr="00DA69D1">
        <w:rPr>
          <w:b/>
          <w:sz w:val="22"/>
          <w:lang w:val="sr-Cyrl-RS"/>
        </w:rPr>
        <w:t>27</w:t>
      </w:r>
      <w:r w:rsidR="00543BB2">
        <w:rPr>
          <w:b/>
          <w:sz w:val="22"/>
          <w:lang w:val="sr-Cyrl-RS"/>
        </w:rPr>
        <w:t>. јуна 201</w:t>
      </w:r>
      <w:r w:rsidR="00DA69D1">
        <w:rPr>
          <w:b/>
          <w:sz w:val="22"/>
          <w:lang w:val="sr-Cyrl-RS"/>
        </w:rPr>
        <w:t>7</w:t>
      </w:r>
      <w:r w:rsidR="00543BB2">
        <w:rPr>
          <w:b/>
          <w:sz w:val="22"/>
          <w:lang w:val="sr-Cyrl-RS"/>
        </w:rPr>
        <w:t>.</w:t>
      </w:r>
      <w:r w:rsidRPr="0030028B">
        <w:rPr>
          <w:sz w:val="22"/>
          <w:lang w:val="sr-Cyrl-RS"/>
        </w:rPr>
        <w:t xml:space="preserve"> године.</w:t>
      </w:r>
    </w:p>
    <w:p w:rsidR="000432DE" w:rsidRPr="0030028B" w:rsidRDefault="000432DE" w:rsidP="000432DE">
      <w:pPr>
        <w:spacing w:before="60"/>
        <w:jc w:val="both"/>
        <w:rPr>
          <w:sz w:val="22"/>
          <w:lang w:val="sr-Cyrl-RS"/>
        </w:rPr>
      </w:pPr>
      <w:r w:rsidRPr="0030028B">
        <w:rPr>
          <w:sz w:val="22"/>
          <w:lang w:val="sr-Cyrl-RS"/>
        </w:rPr>
        <w:t xml:space="preserve">Привремена ранг листа ће бити објављена </w:t>
      </w:r>
      <w:r w:rsidR="006C06DA">
        <w:rPr>
          <w:b/>
          <w:sz w:val="22"/>
          <w:lang w:val="sr-Cyrl-RS"/>
        </w:rPr>
        <w:t>28</w:t>
      </w:r>
      <w:r w:rsidR="00543BB2">
        <w:rPr>
          <w:b/>
          <w:sz w:val="22"/>
          <w:lang w:val="sr-Cyrl-RS"/>
        </w:rPr>
        <w:t>. ју</w:t>
      </w:r>
      <w:r w:rsidR="006C06DA">
        <w:rPr>
          <w:b/>
          <w:sz w:val="22"/>
          <w:lang w:val="sr-Cyrl-RS"/>
        </w:rPr>
        <w:t>н</w:t>
      </w:r>
      <w:r w:rsidR="00543BB2">
        <w:rPr>
          <w:b/>
          <w:sz w:val="22"/>
          <w:lang w:val="sr-Cyrl-RS"/>
        </w:rPr>
        <w:t>а 201</w:t>
      </w:r>
      <w:r w:rsidR="006C06DA">
        <w:rPr>
          <w:b/>
          <w:sz w:val="22"/>
          <w:lang w:val="sr-Cyrl-RS"/>
        </w:rPr>
        <w:t>7</w:t>
      </w:r>
      <w:r w:rsidR="00543BB2">
        <w:rPr>
          <w:b/>
          <w:sz w:val="22"/>
          <w:lang w:val="sr-Cyrl-RS"/>
        </w:rPr>
        <w:t>.</w:t>
      </w:r>
      <w:r w:rsidRPr="0030028B">
        <w:rPr>
          <w:sz w:val="22"/>
          <w:lang w:val="sr-Cyrl-RS"/>
        </w:rPr>
        <w:t xml:space="preserve"> године.</w:t>
      </w:r>
    </w:p>
    <w:p w:rsidR="000432DE" w:rsidRPr="0030028B" w:rsidRDefault="000432DE" w:rsidP="000432DE">
      <w:pPr>
        <w:spacing w:before="60"/>
        <w:jc w:val="both"/>
        <w:rPr>
          <w:sz w:val="22"/>
          <w:lang w:val="sr-Cyrl-RS"/>
        </w:rPr>
      </w:pPr>
      <w:r w:rsidRPr="0030028B">
        <w:rPr>
          <w:sz w:val="22"/>
          <w:lang w:val="sr-Cyrl-RS"/>
        </w:rPr>
        <w:t>Рок за подношење приговора на привремену ранг листу је 24 часа од дана објављивања привремене ранг листе на огласној табли и сајту Школе.</w:t>
      </w:r>
    </w:p>
    <w:p w:rsidR="000432DE" w:rsidRPr="0030028B" w:rsidRDefault="000432DE" w:rsidP="000432DE">
      <w:pPr>
        <w:spacing w:before="60"/>
        <w:jc w:val="both"/>
        <w:rPr>
          <w:sz w:val="22"/>
          <w:lang w:val="sr-Cyrl-RS"/>
        </w:rPr>
      </w:pPr>
      <w:r w:rsidRPr="0030028B">
        <w:rPr>
          <w:sz w:val="22"/>
          <w:lang w:val="sr-Cyrl-RS"/>
        </w:rPr>
        <w:t xml:space="preserve">Коначна ранг листа ће бити објављена </w:t>
      </w:r>
      <w:r w:rsidR="006C06DA" w:rsidRPr="006C06DA">
        <w:rPr>
          <w:b/>
          <w:sz w:val="22"/>
          <w:lang w:val="sr-Cyrl-RS"/>
        </w:rPr>
        <w:t>30</w:t>
      </w:r>
      <w:r w:rsidR="00543BB2">
        <w:rPr>
          <w:b/>
          <w:sz w:val="22"/>
          <w:lang w:val="sr-Cyrl-RS"/>
        </w:rPr>
        <w:t>. ју</w:t>
      </w:r>
      <w:r w:rsidR="006C06DA">
        <w:rPr>
          <w:b/>
          <w:sz w:val="22"/>
          <w:lang w:val="sr-Cyrl-RS"/>
        </w:rPr>
        <w:t>н</w:t>
      </w:r>
      <w:r w:rsidR="00543BB2">
        <w:rPr>
          <w:b/>
          <w:sz w:val="22"/>
          <w:lang w:val="sr-Cyrl-RS"/>
        </w:rPr>
        <w:t>а 201</w:t>
      </w:r>
      <w:r w:rsidR="006C06DA">
        <w:rPr>
          <w:b/>
          <w:sz w:val="22"/>
          <w:lang w:val="sr-Cyrl-RS"/>
        </w:rPr>
        <w:t>7</w:t>
      </w:r>
      <w:r w:rsidR="00543BB2">
        <w:rPr>
          <w:b/>
          <w:sz w:val="22"/>
          <w:lang w:val="sr-Cyrl-RS"/>
        </w:rPr>
        <w:t>.</w:t>
      </w:r>
      <w:r w:rsidRPr="0030028B">
        <w:rPr>
          <w:sz w:val="22"/>
          <w:lang w:val="sr-Cyrl-RS"/>
        </w:rPr>
        <w:t xml:space="preserve"> године на огласној табли и сајту Школе.</w:t>
      </w:r>
    </w:p>
    <w:p w:rsidR="000432DE" w:rsidRPr="0030028B" w:rsidRDefault="000432DE" w:rsidP="000432DE">
      <w:pPr>
        <w:spacing w:before="60"/>
        <w:jc w:val="both"/>
        <w:rPr>
          <w:sz w:val="22"/>
          <w:lang w:val="sr-Cyrl-RS"/>
        </w:rPr>
      </w:pPr>
      <w:r w:rsidRPr="0030028B">
        <w:rPr>
          <w:sz w:val="22"/>
          <w:lang w:val="sr-Cyrl-RS"/>
        </w:rPr>
        <w:t xml:space="preserve">Упис примљених кандидата обавиће се </w:t>
      </w:r>
      <w:r w:rsidR="00543BB2">
        <w:rPr>
          <w:b/>
          <w:sz w:val="22"/>
          <w:lang w:val="sr-Cyrl-RS"/>
        </w:rPr>
        <w:t>0</w:t>
      </w:r>
      <w:r w:rsidR="006C06DA">
        <w:rPr>
          <w:b/>
          <w:sz w:val="22"/>
          <w:lang w:val="sr-Cyrl-RS"/>
        </w:rPr>
        <w:t>3</w:t>
      </w:r>
      <w:r w:rsidR="00543BB2">
        <w:rPr>
          <w:b/>
          <w:sz w:val="22"/>
          <w:lang w:val="sr-Cyrl-RS"/>
        </w:rPr>
        <w:t>, 0</w:t>
      </w:r>
      <w:r w:rsidR="006C06DA">
        <w:rPr>
          <w:b/>
          <w:sz w:val="22"/>
          <w:lang w:val="sr-Cyrl-RS"/>
        </w:rPr>
        <w:t>4</w:t>
      </w:r>
      <w:r w:rsidR="00543BB2">
        <w:rPr>
          <w:b/>
          <w:sz w:val="22"/>
          <w:lang w:val="sr-Cyrl-RS"/>
        </w:rPr>
        <w:t>. и 0</w:t>
      </w:r>
      <w:r w:rsidR="006C06DA">
        <w:rPr>
          <w:b/>
          <w:sz w:val="22"/>
          <w:lang w:val="sr-Cyrl-RS"/>
        </w:rPr>
        <w:t>5</w:t>
      </w:r>
      <w:r w:rsidR="00543BB2">
        <w:rPr>
          <w:b/>
          <w:sz w:val="22"/>
          <w:lang w:val="sr-Cyrl-RS"/>
        </w:rPr>
        <w:t xml:space="preserve">. </w:t>
      </w:r>
      <w:r w:rsidR="0044352D">
        <w:rPr>
          <w:b/>
          <w:sz w:val="22"/>
          <w:lang w:val="sr-Cyrl-RS"/>
        </w:rPr>
        <w:t>ј</w:t>
      </w:r>
      <w:r w:rsidR="00543BB2">
        <w:rPr>
          <w:b/>
          <w:sz w:val="22"/>
          <w:lang w:val="sr-Cyrl-RS"/>
        </w:rPr>
        <w:t>ула 201</w:t>
      </w:r>
      <w:r w:rsidR="006C06DA">
        <w:rPr>
          <w:b/>
          <w:sz w:val="22"/>
          <w:lang w:val="sr-Cyrl-RS"/>
        </w:rPr>
        <w:t>7</w:t>
      </w:r>
      <w:r w:rsidR="00543BB2">
        <w:rPr>
          <w:b/>
          <w:sz w:val="22"/>
          <w:lang w:val="sr-Cyrl-RS"/>
        </w:rPr>
        <w:t>.</w:t>
      </w:r>
      <w:r w:rsidRPr="0030028B">
        <w:rPr>
          <w:sz w:val="22"/>
          <w:lang w:val="sr-Cyrl-RS"/>
        </w:rPr>
        <w:t xml:space="preserve"> године,</w:t>
      </w:r>
      <w:r w:rsidR="00417737">
        <w:rPr>
          <w:sz w:val="22"/>
          <w:lang w:val="sr-Cyrl-RS"/>
        </w:rPr>
        <w:t xml:space="preserve"> од </w:t>
      </w:r>
      <w:r w:rsidR="00417737" w:rsidRPr="00417737">
        <w:rPr>
          <w:b/>
          <w:sz w:val="22"/>
          <w:lang w:val="sr-Cyrl-RS"/>
        </w:rPr>
        <w:t>8.00</w:t>
      </w:r>
      <w:r w:rsidRPr="0030028B">
        <w:rPr>
          <w:sz w:val="22"/>
          <w:lang w:val="sr-Cyrl-RS"/>
        </w:rPr>
        <w:t xml:space="preserve"> </w:t>
      </w:r>
      <w:r w:rsidR="0044352D">
        <w:rPr>
          <w:sz w:val="22"/>
          <w:lang w:val="sr-Cyrl-RS"/>
        </w:rPr>
        <w:t>до</w:t>
      </w:r>
      <w:r w:rsidRPr="0030028B">
        <w:rPr>
          <w:sz w:val="22"/>
          <w:lang w:val="sr-Cyrl-RS"/>
        </w:rPr>
        <w:t xml:space="preserve"> </w:t>
      </w:r>
      <w:r>
        <w:rPr>
          <w:b/>
          <w:sz w:val="22"/>
          <w:lang w:val="sr-Cyrl-RS"/>
        </w:rPr>
        <w:t>14</w:t>
      </w:r>
      <w:r w:rsidR="00417737">
        <w:rPr>
          <w:b/>
          <w:sz w:val="22"/>
          <w:lang w:val="sr-Cyrl-RS"/>
        </w:rPr>
        <w:t>.</w:t>
      </w:r>
      <w:r>
        <w:rPr>
          <w:b/>
          <w:sz w:val="22"/>
          <w:lang w:val="sr-Cyrl-RS"/>
        </w:rPr>
        <w:t>00</w:t>
      </w:r>
      <w:r w:rsidRPr="0030028B">
        <w:rPr>
          <w:sz w:val="22"/>
          <w:lang w:val="sr-Cyrl-RS"/>
        </w:rPr>
        <w:t xml:space="preserve"> часова.</w:t>
      </w:r>
    </w:p>
    <w:p w:rsidR="000432DE" w:rsidRPr="0030028B" w:rsidRDefault="000432DE" w:rsidP="000432DE">
      <w:pPr>
        <w:spacing w:before="60"/>
        <w:jc w:val="both"/>
        <w:rPr>
          <w:b/>
          <w:sz w:val="22"/>
          <w:lang w:val="sr-Cyrl-RS"/>
        </w:rPr>
      </w:pPr>
      <w:r w:rsidRPr="0030028B">
        <w:rPr>
          <w:b/>
          <w:sz w:val="22"/>
          <w:lang w:val="sr-Cyrl-RS"/>
        </w:rPr>
        <w:t>Уколико се у првом конкурсном року не упише одобрени број студената, Школа ће по истом поступку спровести упис студената у другом конкурсном року.</w:t>
      </w:r>
    </w:p>
    <w:p w:rsidR="000432DE" w:rsidRPr="003B509B" w:rsidRDefault="000432DE" w:rsidP="003B509B">
      <w:pPr>
        <w:spacing w:before="120"/>
        <w:jc w:val="both"/>
        <w:rPr>
          <w:b/>
          <w:sz w:val="22"/>
          <w:lang w:val="sr-Cyrl-RS"/>
        </w:rPr>
      </w:pPr>
      <w:r w:rsidRPr="003B509B">
        <w:rPr>
          <w:b/>
          <w:sz w:val="22"/>
          <w:lang w:val="sr-Cyrl-RS"/>
        </w:rPr>
        <w:t>ДРУГИ КОНКУРСНИ РОК:</w:t>
      </w:r>
    </w:p>
    <w:p w:rsidR="000432DE" w:rsidRPr="0030028B" w:rsidRDefault="000432DE" w:rsidP="000432DE">
      <w:pPr>
        <w:spacing w:before="60"/>
        <w:jc w:val="both"/>
        <w:rPr>
          <w:sz w:val="22"/>
          <w:lang w:val="sr-Cyrl-RS"/>
        </w:rPr>
      </w:pPr>
      <w:r w:rsidRPr="0030028B">
        <w:rPr>
          <w:sz w:val="22"/>
          <w:lang w:val="sr-Cyrl-RS"/>
        </w:rPr>
        <w:t xml:space="preserve">Број слободних места за упис у другом конкурсном року ће бити оглашен </w:t>
      </w:r>
      <w:r w:rsidR="00543BB2">
        <w:rPr>
          <w:b/>
          <w:sz w:val="22"/>
          <w:lang w:val="sr-Cyrl-RS"/>
        </w:rPr>
        <w:t>1</w:t>
      </w:r>
      <w:r w:rsidR="006C06DA">
        <w:rPr>
          <w:b/>
          <w:sz w:val="22"/>
          <w:lang w:val="sr-Cyrl-RS"/>
        </w:rPr>
        <w:t>0</w:t>
      </w:r>
      <w:r w:rsidR="00543BB2">
        <w:rPr>
          <w:b/>
          <w:sz w:val="22"/>
          <w:lang w:val="sr-Cyrl-RS"/>
        </w:rPr>
        <w:t>. јула 201</w:t>
      </w:r>
      <w:r w:rsidR="006C06DA">
        <w:rPr>
          <w:b/>
          <w:sz w:val="22"/>
          <w:lang w:val="sr-Cyrl-RS"/>
        </w:rPr>
        <w:t>7</w:t>
      </w:r>
      <w:r w:rsidR="00543BB2">
        <w:rPr>
          <w:b/>
          <w:sz w:val="22"/>
          <w:lang w:val="sr-Cyrl-RS"/>
        </w:rPr>
        <w:t>.</w:t>
      </w:r>
      <w:r w:rsidRPr="0030028B">
        <w:rPr>
          <w:sz w:val="22"/>
          <w:lang w:val="sr-Cyrl-RS"/>
        </w:rPr>
        <w:t xml:space="preserve"> године.</w:t>
      </w:r>
    </w:p>
    <w:p w:rsidR="000432DE" w:rsidRPr="0030028B" w:rsidRDefault="000432DE" w:rsidP="000432DE">
      <w:pPr>
        <w:spacing w:before="60"/>
        <w:jc w:val="both"/>
        <w:rPr>
          <w:sz w:val="22"/>
          <w:lang w:val="sr-Cyrl-RS"/>
        </w:rPr>
      </w:pPr>
      <w:r w:rsidRPr="0030028B">
        <w:rPr>
          <w:sz w:val="22"/>
          <w:lang w:val="sr-Cyrl-RS"/>
        </w:rPr>
        <w:t xml:space="preserve">Подношење пријава на конкурс је </w:t>
      </w:r>
      <w:r w:rsidR="00543BB2">
        <w:rPr>
          <w:b/>
          <w:sz w:val="22"/>
          <w:lang w:val="sr-Cyrl-RS"/>
        </w:rPr>
        <w:t>0</w:t>
      </w:r>
      <w:r w:rsidR="006C06DA">
        <w:rPr>
          <w:b/>
          <w:sz w:val="22"/>
          <w:lang w:val="sr-Cyrl-RS"/>
        </w:rPr>
        <w:t>4</w:t>
      </w:r>
      <w:r w:rsidR="00543BB2">
        <w:rPr>
          <w:b/>
          <w:sz w:val="22"/>
          <w:lang w:val="sr-Cyrl-RS"/>
        </w:rPr>
        <w:t>. и 0</w:t>
      </w:r>
      <w:r w:rsidR="006C06DA">
        <w:rPr>
          <w:b/>
          <w:sz w:val="22"/>
          <w:lang w:val="sr-Cyrl-RS"/>
        </w:rPr>
        <w:t>5</w:t>
      </w:r>
      <w:r w:rsidR="00543BB2">
        <w:rPr>
          <w:b/>
          <w:sz w:val="22"/>
          <w:lang w:val="sr-Cyrl-RS"/>
        </w:rPr>
        <w:t>. септембра 201</w:t>
      </w:r>
      <w:r w:rsidR="006C06DA">
        <w:rPr>
          <w:b/>
          <w:sz w:val="22"/>
          <w:lang w:val="sr-Cyrl-RS"/>
        </w:rPr>
        <w:t>7</w:t>
      </w:r>
      <w:r w:rsidR="00543BB2">
        <w:rPr>
          <w:b/>
          <w:sz w:val="22"/>
          <w:lang w:val="sr-Cyrl-RS"/>
        </w:rPr>
        <w:t>.</w:t>
      </w:r>
      <w:r w:rsidRPr="0030028B">
        <w:rPr>
          <w:sz w:val="22"/>
          <w:lang w:val="sr-Cyrl-RS"/>
        </w:rPr>
        <w:t xml:space="preserve"> године, </w:t>
      </w:r>
      <w:r w:rsidR="00417737">
        <w:rPr>
          <w:sz w:val="22"/>
          <w:lang w:val="sr-Cyrl-RS"/>
        </w:rPr>
        <w:t xml:space="preserve">од </w:t>
      </w:r>
      <w:r w:rsidR="00417737" w:rsidRPr="00417737">
        <w:rPr>
          <w:b/>
          <w:sz w:val="22"/>
          <w:lang w:val="sr-Cyrl-RS"/>
        </w:rPr>
        <w:t>8.00</w:t>
      </w:r>
      <w:r w:rsidR="00417737" w:rsidRPr="0030028B">
        <w:rPr>
          <w:sz w:val="22"/>
          <w:lang w:val="sr-Cyrl-RS"/>
        </w:rPr>
        <w:t xml:space="preserve"> </w:t>
      </w:r>
      <w:r w:rsidR="0044352D">
        <w:rPr>
          <w:sz w:val="22"/>
          <w:lang w:val="sr-Cyrl-RS"/>
        </w:rPr>
        <w:t>до</w:t>
      </w:r>
      <w:r w:rsidRPr="0030028B">
        <w:rPr>
          <w:sz w:val="22"/>
          <w:lang w:val="sr-Cyrl-RS"/>
        </w:rPr>
        <w:t xml:space="preserve"> </w:t>
      </w:r>
      <w:r>
        <w:rPr>
          <w:b/>
          <w:sz w:val="22"/>
          <w:lang w:val="sr-Cyrl-RS"/>
        </w:rPr>
        <w:t>14</w:t>
      </w:r>
      <w:r w:rsidR="00417737">
        <w:rPr>
          <w:b/>
          <w:sz w:val="22"/>
          <w:lang w:val="sr-Cyrl-RS"/>
        </w:rPr>
        <w:t>.</w:t>
      </w:r>
      <w:r>
        <w:rPr>
          <w:b/>
          <w:sz w:val="22"/>
          <w:lang w:val="sr-Cyrl-RS"/>
        </w:rPr>
        <w:t>00</w:t>
      </w:r>
      <w:r w:rsidRPr="0030028B">
        <w:rPr>
          <w:sz w:val="22"/>
          <w:lang w:val="sr-Cyrl-RS"/>
        </w:rPr>
        <w:t xml:space="preserve"> часова.</w:t>
      </w:r>
    </w:p>
    <w:p w:rsidR="000432DE" w:rsidRPr="0030028B" w:rsidRDefault="000432DE" w:rsidP="000432DE">
      <w:pPr>
        <w:spacing w:before="60"/>
        <w:jc w:val="both"/>
        <w:rPr>
          <w:sz w:val="22"/>
          <w:lang w:val="sr-Cyrl-RS"/>
        </w:rPr>
      </w:pPr>
      <w:r w:rsidRPr="0030028B">
        <w:rPr>
          <w:sz w:val="22"/>
          <w:lang w:val="sr-Cyrl-RS"/>
        </w:rPr>
        <w:t xml:space="preserve">Полагање пријемног испита је </w:t>
      </w:r>
      <w:r w:rsidR="00543BB2">
        <w:rPr>
          <w:b/>
          <w:sz w:val="22"/>
          <w:lang w:val="sr-Cyrl-RS"/>
        </w:rPr>
        <w:t>0</w:t>
      </w:r>
      <w:r w:rsidR="00452176">
        <w:rPr>
          <w:b/>
          <w:sz w:val="22"/>
          <w:lang w:val="sr-Latn-ME"/>
        </w:rPr>
        <w:t>6</w:t>
      </w:r>
      <w:r w:rsidR="00543BB2">
        <w:rPr>
          <w:b/>
          <w:sz w:val="22"/>
          <w:lang w:val="sr-Cyrl-RS"/>
        </w:rPr>
        <w:t>. септембра 201</w:t>
      </w:r>
      <w:r w:rsidR="006C06DA">
        <w:rPr>
          <w:b/>
          <w:sz w:val="22"/>
          <w:lang w:val="sr-Cyrl-RS"/>
        </w:rPr>
        <w:t>7</w:t>
      </w:r>
      <w:r w:rsidR="00543BB2">
        <w:rPr>
          <w:b/>
          <w:sz w:val="22"/>
          <w:lang w:val="sr-Cyrl-RS"/>
        </w:rPr>
        <w:t>.</w:t>
      </w:r>
      <w:r w:rsidRPr="0030028B">
        <w:rPr>
          <w:sz w:val="22"/>
          <w:lang w:val="sr-Cyrl-RS"/>
        </w:rPr>
        <w:t xml:space="preserve"> године, према </w:t>
      </w:r>
      <w:r w:rsidR="0044352D">
        <w:rPr>
          <w:sz w:val="22"/>
          <w:lang w:val="sr-Cyrl-RS"/>
        </w:rPr>
        <w:t xml:space="preserve">распореду који ће бити објављен </w:t>
      </w:r>
      <w:r w:rsidR="00543BB2">
        <w:rPr>
          <w:b/>
          <w:sz w:val="22"/>
          <w:lang w:val="sr-Cyrl-RS"/>
        </w:rPr>
        <w:t>0</w:t>
      </w:r>
      <w:r w:rsidR="00452176">
        <w:rPr>
          <w:b/>
          <w:sz w:val="22"/>
          <w:lang w:val="sr-Latn-ME"/>
        </w:rPr>
        <w:t>5</w:t>
      </w:r>
      <w:r w:rsidR="00543BB2">
        <w:rPr>
          <w:b/>
          <w:sz w:val="22"/>
          <w:lang w:val="sr-Cyrl-RS"/>
        </w:rPr>
        <w:t>. септембра 201</w:t>
      </w:r>
      <w:r w:rsidR="006C06DA">
        <w:rPr>
          <w:b/>
          <w:sz w:val="22"/>
          <w:lang w:val="sr-Cyrl-RS"/>
        </w:rPr>
        <w:t>7</w:t>
      </w:r>
      <w:r w:rsidR="00543BB2">
        <w:rPr>
          <w:b/>
          <w:sz w:val="22"/>
          <w:lang w:val="sr-Cyrl-RS"/>
        </w:rPr>
        <w:t>.</w:t>
      </w:r>
      <w:r w:rsidR="00543BB2" w:rsidRPr="0030028B">
        <w:rPr>
          <w:sz w:val="22"/>
          <w:lang w:val="sr-Cyrl-RS"/>
        </w:rPr>
        <w:t xml:space="preserve"> </w:t>
      </w:r>
      <w:r w:rsidR="00543BB2" w:rsidRPr="0030028B">
        <w:rPr>
          <w:b/>
          <w:sz w:val="22"/>
          <w:lang w:val="sr-Cyrl-RS"/>
        </w:rPr>
        <w:t xml:space="preserve"> </w:t>
      </w:r>
      <w:r w:rsidRPr="0030028B">
        <w:rPr>
          <w:sz w:val="22"/>
          <w:lang w:val="sr-Cyrl-RS"/>
        </w:rPr>
        <w:t>године на огласној табли и сајту Школе.</w:t>
      </w:r>
    </w:p>
    <w:p w:rsidR="000432DE" w:rsidRPr="0030028B" w:rsidRDefault="000432DE" w:rsidP="000432DE">
      <w:pPr>
        <w:spacing w:before="60"/>
        <w:jc w:val="both"/>
        <w:rPr>
          <w:sz w:val="22"/>
          <w:lang w:val="sr-Cyrl-RS"/>
        </w:rPr>
      </w:pPr>
      <w:r w:rsidRPr="0030028B">
        <w:rPr>
          <w:sz w:val="22"/>
          <w:lang w:val="sr-Cyrl-RS"/>
        </w:rPr>
        <w:t xml:space="preserve">Привремена ранг листа ће бити објављена </w:t>
      </w:r>
      <w:r w:rsidR="0044352D" w:rsidRPr="0044352D">
        <w:rPr>
          <w:b/>
          <w:sz w:val="22"/>
          <w:lang w:val="sr-Cyrl-RS"/>
        </w:rPr>
        <w:t>0</w:t>
      </w:r>
      <w:r w:rsidR="00452176">
        <w:rPr>
          <w:b/>
          <w:sz w:val="22"/>
          <w:lang w:val="sr-Latn-ME"/>
        </w:rPr>
        <w:t>7</w:t>
      </w:r>
      <w:r w:rsidR="0044352D">
        <w:rPr>
          <w:b/>
          <w:sz w:val="22"/>
          <w:lang w:val="sr-Cyrl-RS"/>
        </w:rPr>
        <w:t>. септембра 201</w:t>
      </w:r>
      <w:r w:rsidR="006C06DA">
        <w:rPr>
          <w:b/>
          <w:sz w:val="22"/>
          <w:lang w:val="sr-Cyrl-RS"/>
        </w:rPr>
        <w:t>7</w:t>
      </w:r>
      <w:r w:rsidR="0044352D">
        <w:rPr>
          <w:b/>
          <w:sz w:val="22"/>
          <w:lang w:val="sr-Cyrl-RS"/>
        </w:rPr>
        <w:t>.</w:t>
      </w:r>
      <w:r w:rsidR="0044352D">
        <w:rPr>
          <w:sz w:val="22"/>
          <w:lang w:val="sr-Cyrl-RS"/>
        </w:rPr>
        <w:t xml:space="preserve"> </w:t>
      </w:r>
      <w:r w:rsidRPr="0030028B">
        <w:rPr>
          <w:sz w:val="22"/>
          <w:lang w:val="sr-Cyrl-RS"/>
        </w:rPr>
        <w:t>године.</w:t>
      </w:r>
    </w:p>
    <w:p w:rsidR="000432DE" w:rsidRPr="0030028B" w:rsidRDefault="000432DE" w:rsidP="000432DE">
      <w:pPr>
        <w:spacing w:before="60"/>
        <w:jc w:val="both"/>
        <w:rPr>
          <w:sz w:val="22"/>
          <w:lang w:val="sr-Cyrl-RS"/>
        </w:rPr>
      </w:pPr>
      <w:r w:rsidRPr="0030028B">
        <w:rPr>
          <w:sz w:val="22"/>
          <w:lang w:val="sr-Cyrl-RS"/>
        </w:rPr>
        <w:t>Рок за подношење приговора на привремену ранг листу је 24 часа, од дана објављивања привремене ранг листе на огласној табли и сајту Школе.</w:t>
      </w:r>
    </w:p>
    <w:p w:rsidR="000432DE" w:rsidRPr="0030028B" w:rsidRDefault="000432DE" w:rsidP="000432DE">
      <w:pPr>
        <w:spacing w:before="60"/>
        <w:jc w:val="both"/>
        <w:rPr>
          <w:sz w:val="22"/>
          <w:lang w:val="sr-Cyrl-RS"/>
        </w:rPr>
      </w:pPr>
      <w:r w:rsidRPr="0030028B">
        <w:rPr>
          <w:sz w:val="22"/>
          <w:lang w:val="sr-Cyrl-RS"/>
        </w:rPr>
        <w:t xml:space="preserve">Коначна ранг листа ће бити објављена </w:t>
      </w:r>
      <w:r w:rsidR="006C06DA" w:rsidRPr="006C06DA">
        <w:rPr>
          <w:b/>
          <w:sz w:val="22"/>
          <w:lang w:val="sr-Cyrl-RS"/>
        </w:rPr>
        <w:t>11</w:t>
      </w:r>
      <w:r w:rsidR="0044352D">
        <w:rPr>
          <w:b/>
          <w:sz w:val="22"/>
          <w:lang w:val="sr-Cyrl-RS"/>
        </w:rPr>
        <w:t>. септембра 201</w:t>
      </w:r>
      <w:r w:rsidR="006C06DA">
        <w:rPr>
          <w:b/>
          <w:sz w:val="22"/>
          <w:lang w:val="sr-Cyrl-RS"/>
        </w:rPr>
        <w:t>7</w:t>
      </w:r>
      <w:r w:rsidR="0044352D">
        <w:rPr>
          <w:b/>
          <w:sz w:val="22"/>
          <w:lang w:val="sr-Cyrl-RS"/>
        </w:rPr>
        <w:t>.</w:t>
      </w:r>
      <w:r w:rsidR="0044352D" w:rsidRPr="0030028B">
        <w:rPr>
          <w:sz w:val="22"/>
          <w:lang w:val="sr-Cyrl-RS"/>
        </w:rPr>
        <w:t xml:space="preserve"> </w:t>
      </w:r>
      <w:r w:rsidRPr="0030028B">
        <w:rPr>
          <w:sz w:val="22"/>
          <w:lang w:val="sr-Cyrl-RS"/>
        </w:rPr>
        <w:t xml:space="preserve">године. </w:t>
      </w:r>
    </w:p>
    <w:p w:rsidR="000432DE" w:rsidRPr="0030028B" w:rsidRDefault="000432DE" w:rsidP="000432DE">
      <w:pPr>
        <w:spacing w:before="60"/>
        <w:jc w:val="both"/>
        <w:rPr>
          <w:sz w:val="22"/>
          <w:lang w:val="sr-Cyrl-RS"/>
        </w:rPr>
      </w:pPr>
      <w:r w:rsidRPr="0030028B">
        <w:rPr>
          <w:sz w:val="22"/>
          <w:lang w:val="sr-Cyrl-RS"/>
        </w:rPr>
        <w:t xml:space="preserve">Упис примљених кандидата обавиће се </w:t>
      </w:r>
      <w:r w:rsidR="0044352D">
        <w:rPr>
          <w:b/>
          <w:sz w:val="22"/>
          <w:lang w:val="sr-Cyrl-RS"/>
        </w:rPr>
        <w:t>1</w:t>
      </w:r>
      <w:r w:rsidR="006C06DA">
        <w:rPr>
          <w:b/>
          <w:sz w:val="22"/>
          <w:lang w:val="sr-Cyrl-RS"/>
        </w:rPr>
        <w:t>1</w:t>
      </w:r>
      <w:r w:rsidR="0044352D">
        <w:rPr>
          <w:b/>
          <w:sz w:val="22"/>
          <w:lang w:val="sr-Cyrl-RS"/>
        </w:rPr>
        <w:t>. и 1</w:t>
      </w:r>
      <w:r w:rsidR="006C06DA">
        <w:rPr>
          <w:b/>
          <w:sz w:val="22"/>
          <w:lang w:val="sr-Cyrl-RS"/>
        </w:rPr>
        <w:t>2</w:t>
      </w:r>
      <w:r w:rsidR="0044352D">
        <w:rPr>
          <w:b/>
          <w:sz w:val="22"/>
          <w:lang w:val="sr-Cyrl-RS"/>
        </w:rPr>
        <w:t>. септембра 201</w:t>
      </w:r>
      <w:r w:rsidR="00527981">
        <w:rPr>
          <w:b/>
          <w:sz w:val="22"/>
          <w:lang w:val="sr-Latn-ME"/>
        </w:rPr>
        <w:t>7</w:t>
      </w:r>
      <w:r w:rsidR="0044352D">
        <w:rPr>
          <w:b/>
          <w:sz w:val="22"/>
          <w:lang w:val="sr-Cyrl-RS"/>
        </w:rPr>
        <w:t>.</w:t>
      </w:r>
      <w:r w:rsidR="0044352D" w:rsidRPr="0030028B">
        <w:rPr>
          <w:sz w:val="22"/>
          <w:lang w:val="sr-Cyrl-RS"/>
        </w:rPr>
        <w:t xml:space="preserve"> </w:t>
      </w:r>
      <w:r w:rsidR="0044352D">
        <w:rPr>
          <w:sz w:val="22"/>
          <w:lang w:val="sr-Cyrl-RS"/>
        </w:rPr>
        <w:t>године,</w:t>
      </w:r>
      <w:r w:rsidR="00417737" w:rsidRPr="00417737">
        <w:rPr>
          <w:sz w:val="22"/>
          <w:lang w:val="sr-Cyrl-RS"/>
        </w:rPr>
        <w:t xml:space="preserve"> </w:t>
      </w:r>
      <w:r w:rsidR="00417737">
        <w:rPr>
          <w:sz w:val="22"/>
          <w:lang w:val="sr-Cyrl-RS"/>
        </w:rPr>
        <w:t xml:space="preserve">од </w:t>
      </w:r>
      <w:r w:rsidR="00417737" w:rsidRPr="00417737">
        <w:rPr>
          <w:b/>
          <w:sz w:val="22"/>
          <w:lang w:val="sr-Cyrl-RS"/>
        </w:rPr>
        <w:t>8.00</w:t>
      </w:r>
      <w:r w:rsidR="00417737" w:rsidRPr="0030028B">
        <w:rPr>
          <w:sz w:val="22"/>
          <w:lang w:val="sr-Cyrl-RS"/>
        </w:rPr>
        <w:t xml:space="preserve"> </w:t>
      </w:r>
      <w:r w:rsidR="0044352D">
        <w:rPr>
          <w:sz w:val="22"/>
          <w:lang w:val="sr-Cyrl-RS"/>
        </w:rPr>
        <w:t xml:space="preserve"> до</w:t>
      </w:r>
      <w:r w:rsidRPr="0030028B">
        <w:rPr>
          <w:sz w:val="22"/>
          <w:lang w:val="sr-Cyrl-RS"/>
        </w:rPr>
        <w:t xml:space="preserve"> </w:t>
      </w:r>
      <w:r>
        <w:rPr>
          <w:b/>
          <w:sz w:val="22"/>
          <w:lang w:val="sr-Cyrl-RS"/>
        </w:rPr>
        <w:t>14</w:t>
      </w:r>
      <w:r w:rsidR="00417737">
        <w:rPr>
          <w:b/>
          <w:sz w:val="22"/>
          <w:lang w:val="sr-Cyrl-RS"/>
        </w:rPr>
        <w:t>.</w:t>
      </w:r>
      <w:r>
        <w:rPr>
          <w:b/>
          <w:sz w:val="22"/>
          <w:lang w:val="sr-Cyrl-RS"/>
        </w:rPr>
        <w:t>00</w:t>
      </w:r>
      <w:r w:rsidRPr="0030028B">
        <w:rPr>
          <w:sz w:val="22"/>
          <w:lang w:val="sr-Cyrl-RS"/>
        </w:rPr>
        <w:t xml:space="preserve"> часова.</w:t>
      </w:r>
    </w:p>
    <w:p w:rsidR="000432DE" w:rsidRPr="0030028B" w:rsidRDefault="000432DE" w:rsidP="003B509B">
      <w:pPr>
        <w:spacing w:before="120"/>
        <w:jc w:val="both"/>
        <w:rPr>
          <w:b/>
          <w:sz w:val="22"/>
          <w:lang w:val="sr-Cyrl-RS"/>
        </w:rPr>
      </w:pPr>
      <w:r w:rsidRPr="0030028B">
        <w:rPr>
          <w:b/>
          <w:sz w:val="22"/>
          <w:lang w:val="sr-Cyrl-RS"/>
        </w:rPr>
        <w:t>УПИСНА И ДРУГА ДОКУМЕНТАЦИЈА</w:t>
      </w:r>
    </w:p>
    <w:p w:rsidR="000432DE" w:rsidRPr="0030028B" w:rsidRDefault="000432DE" w:rsidP="000432DE">
      <w:pPr>
        <w:spacing w:before="60"/>
        <w:jc w:val="both"/>
        <w:rPr>
          <w:sz w:val="22"/>
          <w:lang w:val="sr-Cyrl-RS"/>
        </w:rPr>
      </w:pPr>
      <w:r w:rsidRPr="0030028B">
        <w:rPr>
          <w:sz w:val="22"/>
          <w:lang w:val="sr-Cyrl-RS"/>
        </w:rPr>
        <w:t>Сви кандидати ПРИЛИКОМ ПРИЈАВЕ на конкурс подносе на увид оригинал документа, а уз ПРИЈАВНИ ЛИСТ који се добија у Школи, подносе ФОТОКОПИЈЕ следећих докумената:</w:t>
      </w:r>
    </w:p>
    <w:p w:rsidR="000432DE" w:rsidRPr="0030028B" w:rsidRDefault="000432DE" w:rsidP="000432DE">
      <w:pPr>
        <w:pStyle w:val="ListParagraph"/>
        <w:numPr>
          <w:ilvl w:val="0"/>
          <w:numId w:val="1"/>
        </w:numPr>
        <w:spacing w:before="60"/>
        <w:jc w:val="both"/>
        <w:rPr>
          <w:sz w:val="22"/>
          <w:lang w:val="sr-Cyrl-RS"/>
        </w:rPr>
      </w:pPr>
      <w:r w:rsidRPr="0030028B">
        <w:rPr>
          <w:sz w:val="22"/>
          <w:lang w:val="sr-Cyrl-RS"/>
        </w:rPr>
        <w:t>Диплому или сведочанство о завршеној средњој школи,</w:t>
      </w:r>
    </w:p>
    <w:p w:rsidR="000432DE" w:rsidRPr="0030028B" w:rsidRDefault="000432DE" w:rsidP="000432DE">
      <w:pPr>
        <w:pStyle w:val="ListParagraph"/>
        <w:numPr>
          <w:ilvl w:val="0"/>
          <w:numId w:val="1"/>
        </w:numPr>
        <w:spacing w:before="60"/>
        <w:jc w:val="both"/>
        <w:rPr>
          <w:sz w:val="22"/>
          <w:lang w:val="sr-Cyrl-RS"/>
        </w:rPr>
      </w:pPr>
      <w:r w:rsidRPr="0030028B">
        <w:rPr>
          <w:sz w:val="22"/>
          <w:lang w:val="sr-Cyrl-RS"/>
        </w:rPr>
        <w:t>Сведочанства свих разреда средње школе,</w:t>
      </w:r>
    </w:p>
    <w:p w:rsidR="000432DE" w:rsidRPr="0030028B" w:rsidRDefault="000432DE" w:rsidP="000432DE">
      <w:pPr>
        <w:pStyle w:val="ListParagraph"/>
        <w:numPr>
          <w:ilvl w:val="0"/>
          <w:numId w:val="1"/>
        </w:numPr>
        <w:spacing w:before="60"/>
        <w:jc w:val="both"/>
        <w:rPr>
          <w:sz w:val="22"/>
          <w:lang w:val="sr-Cyrl-RS"/>
        </w:rPr>
      </w:pPr>
      <w:r w:rsidRPr="0030028B">
        <w:rPr>
          <w:sz w:val="22"/>
          <w:lang w:val="sr-Cyrl-RS"/>
        </w:rPr>
        <w:t>Извод из матичне књиге рођених,</w:t>
      </w:r>
    </w:p>
    <w:p w:rsidR="000432DE" w:rsidRPr="0030028B" w:rsidRDefault="000432DE" w:rsidP="000432DE">
      <w:pPr>
        <w:pStyle w:val="ListParagraph"/>
        <w:numPr>
          <w:ilvl w:val="0"/>
          <w:numId w:val="1"/>
        </w:numPr>
        <w:spacing w:before="60"/>
        <w:jc w:val="both"/>
        <w:rPr>
          <w:sz w:val="22"/>
          <w:lang w:val="sr-Cyrl-RS"/>
        </w:rPr>
      </w:pPr>
      <w:r w:rsidRPr="0030028B">
        <w:rPr>
          <w:sz w:val="22"/>
          <w:lang w:val="sr-Cyrl-RS"/>
        </w:rPr>
        <w:t>Копија важеће личне карте или другог документа из кога се може преузети ЈМБГ,</w:t>
      </w:r>
    </w:p>
    <w:p w:rsidR="000432DE" w:rsidRPr="0030028B" w:rsidRDefault="000432DE" w:rsidP="000432DE">
      <w:pPr>
        <w:pStyle w:val="ListParagraph"/>
        <w:numPr>
          <w:ilvl w:val="0"/>
          <w:numId w:val="1"/>
        </w:numPr>
        <w:spacing w:before="60"/>
        <w:jc w:val="both"/>
        <w:rPr>
          <w:sz w:val="22"/>
          <w:lang w:val="sr-Cyrl-RS"/>
        </w:rPr>
      </w:pPr>
      <w:r w:rsidRPr="0030028B">
        <w:rPr>
          <w:sz w:val="22"/>
          <w:lang w:val="sr-Cyrl-RS"/>
        </w:rPr>
        <w:t>Доказ о освојеним наградама (</w:t>
      </w:r>
      <w:r w:rsidRPr="0030028B">
        <w:rPr>
          <w:sz w:val="22"/>
        </w:rPr>
        <w:t>I-III</w:t>
      </w:r>
      <w:r w:rsidRPr="0030028B">
        <w:rPr>
          <w:sz w:val="22"/>
          <w:lang w:val="sr-Cyrl-RS"/>
        </w:rPr>
        <w:t xml:space="preserve"> место) на републичком или међународном такмичењу у трећем или четвртом разреду средње школе, у организацији надлежног Министарства,</w:t>
      </w:r>
    </w:p>
    <w:p w:rsidR="000432DE" w:rsidRPr="0030028B" w:rsidRDefault="000432DE" w:rsidP="000432DE">
      <w:pPr>
        <w:pStyle w:val="ListParagraph"/>
        <w:numPr>
          <w:ilvl w:val="0"/>
          <w:numId w:val="1"/>
        </w:numPr>
        <w:spacing w:before="60"/>
        <w:jc w:val="both"/>
        <w:rPr>
          <w:sz w:val="22"/>
          <w:lang w:val="sr-Cyrl-RS"/>
        </w:rPr>
      </w:pPr>
      <w:r w:rsidRPr="0030028B">
        <w:rPr>
          <w:sz w:val="22"/>
          <w:lang w:val="sr-Cyrl-RS"/>
        </w:rPr>
        <w:t xml:space="preserve">Доказ о уплати накнаде за полагање пријемног испита (оригинал уплатница), на жиро рачун Школе, у износу од </w:t>
      </w:r>
      <w:r w:rsidRPr="000B7861">
        <w:rPr>
          <w:color w:val="000000" w:themeColor="text1"/>
          <w:sz w:val="22"/>
          <w:lang w:val="sr-Cyrl-RS"/>
        </w:rPr>
        <w:t xml:space="preserve">5.000,00 </w:t>
      </w:r>
      <w:r w:rsidRPr="0030028B">
        <w:rPr>
          <w:sz w:val="22"/>
          <w:lang w:val="sr-Cyrl-RS"/>
        </w:rPr>
        <w:t>динара.</w:t>
      </w:r>
    </w:p>
    <w:tbl>
      <w:tblPr>
        <w:tblStyle w:val="TableGrid"/>
        <w:tblW w:w="0" w:type="auto"/>
        <w:tblLook w:val="04A0" w:firstRow="1" w:lastRow="0" w:firstColumn="1" w:lastColumn="0" w:noHBand="0" w:noVBand="1"/>
      </w:tblPr>
      <w:tblGrid>
        <w:gridCol w:w="11016"/>
      </w:tblGrid>
      <w:tr w:rsidR="000432DE" w:rsidRPr="0030028B" w:rsidTr="00447526">
        <w:tc>
          <w:tcPr>
            <w:tcW w:w="11016" w:type="dxa"/>
          </w:tcPr>
          <w:p w:rsidR="000432DE" w:rsidRPr="0030028B" w:rsidRDefault="000432DE" w:rsidP="00447526">
            <w:pPr>
              <w:jc w:val="both"/>
              <w:rPr>
                <w:b/>
                <w:sz w:val="22"/>
                <w:lang w:val="sr-Cyrl-RS"/>
              </w:rPr>
            </w:pPr>
            <w:r w:rsidRPr="0030028B">
              <w:rPr>
                <w:b/>
                <w:sz w:val="22"/>
                <w:lang w:val="sr-Cyrl-RS"/>
              </w:rPr>
              <w:t>Кандидати су обавезни да на полагање пријемног испита понесу личну карту или пасош, потврду о пријави на конкурс и хемијску оловку.</w:t>
            </w:r>
          </w:p>
        </w:tc>
      </w:tr>
    </w:tbl>
    <w:p w:rsidR="003B509B" w:rsidRDefault="003B509B" w:rsidP="000432DE">
      <w:pPr>
        <w:spacing w:before="120"/>
        <w:jc w:val="both"/>
        <w:rPr>
          <w:b/>
          <w:sz w:val="22"/>
          <w:lang w:val="sr-Cyrl-RS"/>
        </w:rPr>
      </w:pPr>
    </w:p>
    <w:p w:rsidR="006C06DA" w:rsidRDefault="006C06DA" w:rsidP="000432DE">
      <w:pPr>
        <w:spacing w:before="120"/>
        <w:jc w:val="both"/>
        <w:rPr>
          <w:b/>
          <w:sz w:val="22"/>
          <w:lang w:val="sr-Cyrl-RS"/>
        </w:rPr>
      </w:pPr>
    </w:p>
    <w:p w:rsidR="000432DE" w:rsidRPr="0030028B" w:rsidRDefault="000432DE" w:rsidP="000432DE">
      <w:pPr>
        <w:spacing w:before="120"/>
        <w:jc w:val="both"/>
        <w:rPr>
          <w:b/>
          <w:sz w:val="22"/>
          <w:lang w:val="sr-Cyrl-RS"/>
        </w:rPr>
      </w:pPr>
      <w:r w:rsidRPr="0030028B">
        <w:rPr>
          <w:b/>
          <w:sz w:val="22"/>
          <w:lang w:val="sr-Cyrl-RS"/>
        </w:rPr>
        <w:lastRenderedPageBreak/>
        <w:t>Кандидати који стекну услов за упис, подносе следеће:</w:t>
      </w:r>
    </w:p>
    <w:p w:rsidR="000432DE" w:rsidRPr="0030028B" w:rsidRDefault="000432DE" w:rsidP="000432DE">
      <w:pPr>
        <w:pStyle w:val="ListParagraph"/>
        <w:numPr>
          <w:ilvl w:val="0"/>
          <w:numId w:val="1"/>
        </w:numPr>
        <w:spacing w:before="60"/>
        <w:jc w:val="both"/>
        <w:rPr>
          <w:sz w:val="22"/>
          <w:lang w:val="sr-Cyrl-RS"/>
        </w:rPr>
      </w:pPr>
      <w:r w:rsidRPr="0030028B">
        <w:rPr>
          <w:sz w:val="22"/>
          <w:lang w:val="sr-Cyrl-RS"/>
        </w:rPr>
        <w:t>Комплет за упис (бела фасцикла, индекс, образац ШВ-20, уписни лист) кандидати купују искључиво у скриптарници Школе, приликом уписа,</w:t>
      </w:r>
    </w:p>
    <w:p w:rsidR="000432DE" w:rsidRPr="0030028B" w:rsidRDefault="000432DE" w:rsidP="000432DE">
      <w:pPr>
        <w:pStyle w:val="ListParagraph"/>
        <w:numPr>
          <w:ilvl w:val="0"/>
          <w:numId w:val="1"/>
        </w:numPr>
        <w:spacing w:before="60"/>
        <w:jc w:val="both"/>
        <w:rPr>
          <w:sz w:val="22"/>
          <w:lang w:val="sr-Cyrl-RS"/>
        </w:rPr>
      </w:pPr>
      <w:r w:rsidRPr="0030028B">
        <w:rPr>
          <w:sz w:val="22"/>
          <w:lang w:val="sr-Cyrl-RS"/>
        </w:rPr>
        <w:t>Оригинал документа о завршеној средњој школи (диплому или сведочанство и сведочанства свих разреда средње школе),</w:t>
      </w:r>
    </w:p>
    <w:p w:rsidR="000432DE" w:rsidRPr="0030028B" w:rsidRDefault="000432DE" w:rsidP="000432DE">
      <w:pPr>
        <w:pStyle w:val="ListParagraph"/>
        <w:numPr>
          <w:ilvl w:val="0"/>
          <w:numId w:val="1"/>
        </w:numPr>
        <w:spacing w:before="60"/>
        <w:jc w:val="both"/>
        <w:rPr>
          <w:sz w:val="22"/>
          <w:lang w:val="sr-Cyrl-RS"/>
        </w:rPr>
      </w:pPr>
      <w:r w:rsidRPr="0030028B">
        <w:rPr>
          <w:sz w:val="22"/>
          <w:lang w:val="sr-Cyrl-RS"/>
        </w:rPr>
        <w:t>Извод из матичне књиге рођених,</w:t>
      </w:r>
    </w:p>
    <w:p w:rsidR="000432DE" w:rsidRPr="0030028B" w:rsidRDefault="000432DE" w:rsidP="000432DE">
      <w:pPr>
        <w:pStyle w:val="ListParagraph"/>
        <w:numPr>
          <w:ilvl w:val="0"/>
          <w:numId w:val="1"/>
        </w:numPr>
        <w:spacing w:before="60"/>
        <w:jc w:val="both"/>
        <w:rPr>
          <w:sz w:val="22"/>
          <w:lang w:val="sr-Cyrl-RS"/>
        </w:rPr>
      </w:pPr>
      <w:r w:rsidRPr="0030028B">
        <w:rPr>
          <w:sz w:val="22"/>
          <w:lang w:val="sr-Cyrl-RS"/>
        </w:rPr>
        <w:t>Две фотографије формата 3,5 х 4,5,</w:t>
      </w:r>
    </w:p>
    <w:p w:rsidR="000432DE" w:rsidRPr="0030028B" w:rsidRDefault="000432DE" w:rsidP="000432DE">
      <w:pPr>
        <w:pStyle w:val="ListParagraph"/>
        <w:numPr>
          <w:ilvl w:val="0"/>
          <w:numId w:val="1"/>
        </w:numPr>
        <w:spacing w:before="60"/>
        <w:jc w:val="both"/>
        <w:rPr>
          <w:sz w:val="22"/>
          <w:lang w:val="sr-Cyrl-RS"/>
        </w:rPr>
      </w:pPr>
      <w:r w:rsidRPr="0030028B">
        <w:rPr>
          <w:sz w:val="22"/>
          <w:lang w:val="sr-Cyrl-RS"/>
        </w:rPr>
        <w:t xml:space="preserve">Студенти који плаћају школарину подносе доказ о уплати школарине на жиро рачун Школе, у износу од </w:t>
      </w:r>
      <w:r w:rsidRPr="000B7861">
        <w:rPr>
          <w:color w:val="000000" w:themeColor="text1"/>
          <w:sz w:val="22"/>
          <w:lang w:val="sr-Cyrl-RS"/>
        </w:rPr>
        <w:t xml:space="preserve">60.000,00 </w:t>
      </w:r>
      <w:r w:rsidRPr="0030028B">
        <w:rPr>
          <w:sz w:val="22"/>
          <w:lang w:val="sr-Cyrl-RS"/>
        </w:rPr>
        <w:t>динара. Школарину је могуће платити у десет</w:t>
      </w:r>
      <w:r>
        <w:rPr>
          <w:sz w:val="22"/>
          <w:lang w:val="sr-Cyrl-RS"/>
        </w:rPr>
        <w:t xml:space="preserve"> једнаких</w:t>
      </w:r>
      <w:r w:rsidRPr="0030028B">
        <w:rPr>
          <w:sz w:val="22"/>
          <w:lang w:val="sr-Cyrl-RS"/>
        </w:rPr>
        <w:t xml:space="preserve"> рата, </w:t>
      </w:r>
    </w:p>
    <w:p w:rsidR="000432DE" w:rsidRPr="0030028B" w:rsidRDefault="000432DE" w:rsidP="000432DE">
      <w:pPr>
        <w:pStyle w:val="ListParagraph"/>
        <w:numPr>
          <w:ilvl w:val="0"/>
          <w:numId w:val="1"/>
        </w:numPr>
        <w:spacing w:before="60"/>
        <w:jc w:val="both"/>
        <w:rPr>
          <w:sz w:val="22"/>
          <w:lang w:val="sr-Cyrl-RS"/>
        </w:rPr>
      </w:pPr>
      <w:r w:rsidRPr="0030028B">
        <w:rPr>
          <w:sz w:val="22"/>
          <w:lang w:val="sr-Cyrl-RS"/>
        </w:rPr>
        <w:t>Сви студенти подносе:</w:t>
      </w:r>
    </w:p>
    <w:p w:rsidR="000432DE" w:rsidRDefault="000432DE" w:rsidP="000432DE">
      <w:pPr>
        <w:spacing w:before="60"/>
        <w:ind w:firstLine="720"/>
        <w:jc w:val="both"/>
        <w:rPr>
          <w:sz w:val="22"/>
          <w:lang w:val="sr-Cyrl-RS"/>
        </w:rPr>
      </w:pPr>
      <w:r w:rsidRPr="0030028B">
        <w:rPr>
          <w:sz w:val="22"/>
          <w:lang w:val="sr-Cyrl-RS"/>
        </w:rPr>
        <w:t xml:space="preserve">Доказ о уплати накнаде за осигурање, студентски фонд и материјалне трошкове на жиро рачун Школе, у износу од </w:t>
      </w:r>
      <w:r w:rsidRPr="000B7861">
        <w:rPr>
          <w:color w:val="000000" w:themeColor="text1"/>
          <w:sz w:val="22"/>
          <w:lang w:val="sr-Cyrl-RS"/>
        </w:rPr>
        <w:t xml:space="preserve">3.000,00 </w:t>
      </w:r>
      <w:r w:rsidRPr="0030028B">
        <w:rPr>
          <w:sz w:val="22"/>
          <w:lang w:val="sr-Cyrl-RS"/>
        </w:rPr>
        <w:t>динара.</w:t>
      </w:r>
    </w:p>
    <w:p w:rsidR="003B509B" w:rsidRPr="003B509B" w:rsidRDefault="003B509B" w:rsidP="000432DE">
      <w:pPr>
        <w:spacing w:before="60"/>
        <w:ind w:firstLine="720"/>
        <w:jc w:val="both"/>
        <w:rPr>
          <w:b/>
          <w:sz w:val="22"/>
          <w:lang w:val="sr-Cyrl-RS"/>
        </w:rPr>
      </w:pPr>
      <w:r w:rsidRPr="003B509B">
        <w:rPr>
          <w:b/>
          <w:sz w:val="22"/>
          <w:lang w:val="sr-Cyrl-RS"/>
        </w:rPr>
        <w:t>Студент који се финансира из буџета може у том статусу да има уписан само један студијски програм на истом нивоу студија.</w:t>
      </w:r>
    </w:p>
    <w:p w:rsidR="003B509B" w:rsidRDefault="003B509B" w:rsidP="003B509B">
      <w:pPr>
        <w:jc w:val="center"/>
        <w:rPr>
          <w:b/>
          <w:sz w:val="22"/>
          <w:lang w:val="sr-Cyrl-RS"/>
        </w:rPr>
      </w:pPr>
    </w:p>
    <w:p w:rsidR="000432DE" w:rsidRPr="0030028B" w:rsidRDefault="000432DE" w:rsidP="003B509B">
      <w:pPr>
        <w:jc w:val="center"/>
        <w:rPr>
          <w:b/>
          <w:sz w:val="22"/>
          <w:lang w:val="sr-Cyrl-RS"/>
        </w:rPr>
      </w:pPr>
      <w:r w:rsidRPr="0030028B">
        <w:rPr>
          <w:b/>
          <w:sz w:val="22"/>
          <w:lang w:val="sr-Cyrl-RS"/>
        </w:rPr>
        <w:t>ЖИРО РАЧУН ВИСОКЕ П</w:t>
      </w:r>
      <w:r>
        <w:rPr>
          <w:b/>
          <w:sz w:val="22"/>
          <w:lang w:val="sr-Cyrl-RS"/>
        </w:rPr>
        <w:t>ОСЛОВНЕ ШКОЛЕ СТРУКОВНИХ СТУДИЈА</w:t>
      </w:r>
    </w:p>
    <w:p w:rsidR="000432DE" w:rsidRDefault="000432DE" w:rsidP="000432DE">
      <w:pPr>
        <w:jc w:val="center"/>
        <w:rPr>
          <w:b/>
          <w:sz w:val="22"/>
          <w:lang w:val="sr-Cyrl-RS"/>
        </w:rPr>
      </w:pPr>
      <w:r w:rsidRPr="0030028B">
        <w:rPr>
          <w:b/>
          <w:sz w:val="22"/>
          <w:lang w:val="sr-Cyrl-RS"/>
        </w:rPr>
        <w:t>У НОВОМ САДУ</w:t>
      </w: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8"/>
      </w:tblGrid>
      <w:tr w:rsidR="000432DE" w:rsidRPr="00715899" w:rsidTr="00447526">
        <w:trPr>
          <w:trHeight w:val="2089"/>
          <w:jc w:val="center"/>
        </w:trPr>
        <w:tc>
          <w:tcPr>
            <w:tcW w:w="6378" w:type="dxa"/>
            <w:tcBorders>
              <w:top w:val="single" w:sz="4" w:space="0" w:color="auto"/>
              <w:left w:val="single" w:sz="4" w:space="0" w:color="auto"/>
              <w:bottom w:val="single" w:sz="4" w:space="0" w:color="auto"/>
              <w:right w:val="single" w:sz="4" w:space="0" w:color="auto"/>
            </w:tcBorders>
          </w:tcPr>
          <w:p w:rsidR="000432DE" w:rsidRPr="00715899" w:rsidRDefault="000432DE" w:rsidP="00447526">
            <w:pPr>
              <w:spacing w:before="120" w:after="120"/>
              <w:jc w:val="center"/>
              <w:rPr>
                <w:rFonts w:cs="Times New Roman"/>
                <w:b/>
                <w:sz w:val="28"/>
                <w:szCs w:val="28"/>
                <w:lang w:val="sr-Latn-CS"/>
              </w:rPr>
            </w:pPr>
          </w:p>
          <w:p w:rsidR="000432DE" w:rsidRPr="00715899" w:rsidRDefault="000432DE" w:rsidP="00447526">
            <w:pPr>
              <w:spacing w:before="120" w:after="120"/>
              <w:jc w:val="center"/>
              <w:rPr>
                <w:rFonts w:cs="Times New Roman"/>
                <w:b/>
                <w:sz w:val="28"/>
                <w:szCs w:val="28"/>
                <w:lang w:val="sr-Cyrl-CS"/>
              </w:rPr>
            </w:pPr>
            <w:r w:rsidRPr="00715899">
              <w:rPr>
                <w:rFonts w:cs="Times New Roman"/>
                <w:b/>
                <w:sz w:val="28"/>
                <w:szCs w:val="28"/>
                <w:lang w:val="sr-Cyrl-CS"/>
              </w:rPr>
              <w:t xml:space="preserve">840-1752666-15 </w:t>
            </w:r>
          </w:p>
          <w:tbl>
            <w:tblPr>
              <w:tblStyle w:val="TableGrid"/>
              <w:tblW w:w="0" w:type="auto"/>
              <w:jc w:val="center"/>
              <w:tblLayout w:type="fixed"/>
              <w:tblLook w:val="01E0" w:firstRow="1" w:lastRow="1" w:firstColumn="1" w:lastColumn="1" w:noHBand="0" w:noVBand="0"/>
            </w:tblPr>
            <w:tblGrid>
              <w:gridCol w:w="738"/>
              <w:gridCol w:w="992"/>
              <w:gridCol w:w="3709"/>
            </w:tblGrid>
            <w:tr w:rsidR="000432DE" w:rsidRPr="00715899" w:rsidTr="00447526">
              <w:trPr>
                <w:trHeight w:val="611"/>
                <w:jc w:val="center"/>
              </w:trPr>
              <w:tc>
                <w:tcPr>
                  <w:tcW w:w="738" w:type="dxa"/>
                  <w:tcBorders>
                    <w:top w:val="single" w:sz="4" w:space="0" w:color="auto"/>
                    <w:left w:val="single" w:sz="4" w:space="0" w:color="auto"/>
                    <w:bottom w:val="single" w:sz="4" w:space="0" w:color="auto"/>
                    <w:right w:val="single" w:sz="4" w:space="0" w:color="auto"/>
                  </w:tcBorders>
                </w:tcPr>
                <w:p w:rsidR="000432DE" w:rsidRPr="00715899" w:rsidRDefault="000432DE" w:rsidP="00447526">
                  <w:pPr>
                    <w:spacing w:before="120"/>
                    <w:jc w:val="center"/>
                    <w:rPr>
                      <w:rFonts w:cs="Times New Roman"/>
                      <w:b/>
                      <w:sz w:val="28"/>
                      <w:szCs w:val="28"/>
                      <w:lang w:val="sr-Cyrl-CS"/>
                    </w:rPr>
                  </w:pPr>
                  <w:r w:rsidRPr="00715899">
                    <w:rPr>
                      <w:rFonts w:cs="Times New Roman"/>
                      <w:b/>
                      <w:sz w:val="28"/>
                      <w:szCs w:val="28"/>
                      <w:lang w:val="sr-Cyrl-CS"/>
                    </w:rPr>
                    <w:t>97</w:t>
                  </w:r>
                </w:p>
              </w:tc>
              <w:tc>
                <w:tcPr>
                  <w:tcW w:w="992" w:type="dxa"/>
                  <w:tcBorders>
                    <w:top w:val="nil"/>
                    <w:left w:val="single" w:sz="4" w:space="0" w:color="auto"/>
                    <w:bottom w:val="nil"/>
                    <w:right w:val="single" w:sz="4" w:space="0" w:color="auto"/>
                  </w:tcBorders>
                </w:tcPr>
                <w:p w:rsidR="000432DE" w:rsidRPr="00715899" w:rsidRDefault="000432DE" w:rsidP="00447526">
                  <w:pPr>
                    <w:jc w:val="center"/>
                    <w:rPr>
                      <w:rFonts w:cs="Times New Roman"/>
                      <w:b/>
                      <w:sz w:val="28"/>
                      <w:szCs w:val="28"/>
                      <w:lang w:val="sr-Cyrl-CS"/>
                    </w:rPr>
                  </w:pPr>
                </w:p>
              </w:tc>
              <w:tc>
                <w:tcPr>
                  <w:tcW w:w="3709" w:type="dxa"/>
                  <w:tcBorders>
                    <w:top w:val="single" w:sz="4" w:space="0" w:color="auto"/>
                    <w:left w:val="single" w:sz="4" w:space="0" w:color="auto"/>
                    <w:bottom w:val="single" w:sz="4" w:space="0" w:color="auto"/>
                    <w:right w:val="single" w:sz="4" w:space="0" w:color="auto"/>
                  </w:tcBorders>
                </w:tcPr>
                <w:p w:rsidR="000432DE" w:rsidRPr="00715899" w:rsidRDefault="000432DE" w:rsidP="00447526">
                  <w:pPr>
                    <w:spacing w:before="120"/>
                    <w:jc w:val="center"/>
                    <w:rPr>
                      <w:rFonts w:cs="Times New Roman"/>
                      <w:b/>
                      <w:sz w:val="28"/>
                      <w:szCs w:val="28"/>
                      <w:lang w:val="sr-Cyrl-CS"/>
                    </w:rPr>
                  </w:pPr>
                  <w:r w:rsidRPr="00715899">
                    <w:rPr>
                      <w:rFonts w:cs="Times New Roman"/>
                      <w:b/>
                      <w:sz w:val="28"/>
                      <w:szCs w:val="28"/>
                      <w:lang w:val="sr-Cyrl-CS"/>
                    </w:rPr>
                    <w:t>10223101693811</w:t>
                  </w:r>
                </w:p>
              </w:tc>
            </w:tr>
          </w:tbl>
          <w:p w:rsidR="000432DE" w:rsidRPr="00715899" w:rsidRDefault="000432DE" w:rsidP="00447526">
            <w:pPr>
              <w:spacing w:before="120" w:after="120"/>
              <w:rPr>
                <w:rFonts w:cs="Times New Roman"/>
                <w:b/>
                <w:sz w:val="28"/>
                <w:szCs w:val="28"/>
                <w:lang w:val="sr-Cyrl-CS"/>
              </w:rPr>
            </w:pPr>
          </w:p>
        </w:tc>
      </w:tr>
    </w:tbl>
    <w:p w:rsidR="000432DE" w:rsidRPr="0030028B" w:rsidRDefault="000432DE" w:rsidP="000432DE">
      <w:pPr>
        <w:spacing w:before="60"/>
        <w:jc w:val="both"/>
        <w:rPr>
          <w:b/>
          <w:sz w:val="22"/>
          <w:lang w:val="sr-Cyrl-RS"/>
        </w:rPr>
      </w:pPr>
    </w:p>
    <w:p w:rsidR="000432DE" w:rsidRPr="003B509B" w:rsidRDefault="000432DE" w:rsidP="000432DE">
      <w:pPr>
        <w:spacing w:before="60"/>
        <w:jc w:val="both"/>
        <w:rPr>
          <w:b/>
          <w:sz w:val="22"/>
          <w:lang w:val="sr-Cyrl-RS"/>
        </w:rPr>
      </w:pPr>
      <w:r w:rsidRPr="003B509B">
        <w:rPr>
          <w:b/>
          <w:sz w:val="22"/>
          <w:lang w:val="sr-Cyrl-RS"/>
        </w:rPr>
        <w:t xml:space="preserve">УПИС ДРЖАВЉАНА </w:t>
      </w:r>
      <w:r w:rsidR="003B509B" w:rsidRPr="003B509B">
        <w:rPr>
          <w:b/>
          <w:sz w:val="22"/>
          <w:lang w:val="sr-Cyrl-RS"/>
        </w:rPr>
        <w:t xml:space="preserve">РЕПУБЛИКЕ </w:t>
      </w:r>
      <w:r w:rsidRPr="003B509B">
        <w:rPr>
          <w:b/>
          <w:sz w:val="22"/>
          <w:lang w:val="sr-Cyrl-RS"/>
        </w:rPr>
        <w:t>СРБИЈЕ КОЈИ СУ СРЕДЊУ ШКОЛУ ЗАВРШИЛИ У ИНОСТРАНСТВУ</w:t>
      </w:r>
    </w:p>
    <w:p w:rsidR="000432DE" w:rsidRPr="0030028B" w:rsidRDefault="000432DE" w:rsidP="000432DE">
      <w:pPr>
        <w:spacing w:before="60"/>
        <w:jc w:val="both"/>
        <w:rPr>
          <w:sz w:val="22"/>
          <w:lang w:val="sr-Cyrl-RS"/>
        </w:rPr>
      </w:pPr>
      <w:r w:rsidRPr="0030028B">
        <w:rPr>
          <w:sz w:val="22"/>
          <w:lang w:val="sr-Cyrl-RS"/>
        </w:rPr>
        <w:t xml:space="preserve">Држављанима </w:t>
      </w:r>
      <w:r w:rsidR="003B509B">
        <w:rPr>
          <w:sz w:val="22"/>
          <w:lang w:val="sr-Cyrl-RS"/>
        </w:rPr>
        <w:t>Републике</w:t>
      </w:r>
      <w:r>
        <w:rPr>
          <w:sz w:val="22"/>
          <w:lang w:val="sr-Cyrl-RS"/>
        </w:rPr>
        <w:t xml:space="preserve"> </w:t>
      </w:r>
      <w:r w:rsidRPr="0030028B">
        <w:rPr>
          <w:sz w:val="22"/>
          <w:lang w:val="sr-Cyrl-RS"/>
        </w:rPr>
        <w:t>Србије који су завршили средњу школу у иностранству, а немају нострификована документа потребна за упис, омогућиће се да конкуришу уз потврду Министарства просвете, науке и технолошког развоја  или Покрајинског секретаријата за науку и технолошки развој о томе да је започет поступак нострификације, уз обавезу да приликом уписа предају нострификована документа.</w:t>
      </w:r>
    </w:p>
    <w:p w:rsidR="003B509B" w:rsidRPr="0030028B" w:rsidRDefault="003B509B" w:rsidP="003B509B">
      <w:pPr>
        <w:spacing w:before="120"/>
        <w:jc w:val="both"/>
        <w:rPr>
          <w:b/>
          <w:sz w:val="22"/>
          <w:lang w:val="sr-Cyrl-RS"/>
        </w:rPr>
      </w:pPr>
      <w:r w:rsidRPr="0030028B">
        <w:rPr>
          <w:b/>
          <w:sz w:val="22"/>
          <w:lang w:val="sr-Cyrl-RS"/>
        </w:rPr>
        <w:t>УПИС ПРИПАДНИКА СРПСКЕ НАЦИОНАЛНЕ МАЊИНЕ ИЗ СУСЕДНИХ ЗЕМАЉА</w:t>
      </w:r>
    </w:p>
    <w:p w:rsidR="003B509B" w:rsidRPr="0030028B" w:rsidRDefault="003B509B" w:rsidP="003B509B">
      <w:pPr>
        <w:spacing w:before="60"/>
        <w:jc w:val="both"/>
        <w:rPr>
          <w:sz w:val="22"/>
          <w:lang w:val="sr-Cyrl-RS"/>
        </w:rPr>
      </w:pPr>
      <w:r w:rsidRPr="0030028B">
        <w:rPr>
          <w:sz w:val="22"/>
          <w:lang w:val="sr-Cyrl-RS"/>
        </w:rPr>
        <w:t xml:space="preserve">Припадници српске националне мањине из суседних земаља могу се </w:t>
      </w:r>
      <w:r w:rsidR="00596191">
        <w:rPr>
          <w:sz w:val="22"/>
          <w:lang w:val="sr-Cyrl-RS"/>
        </w:rPr>
        <w:t>уписати у прву годину студија</w:t>
      </w:r>
      <w:r w:rsidRPr="0030028B">
        <w:rPr>
          <w:sz w:val="22"/>
          <w:lang w:val="sr-Cyrl-RS"/>
        </w:rPr>
        <w:t xml:space="preserve"> под истим условима као и </w:t>
      </w:r>
      <w:r w:rsidR="00596191">
        <w:rPr>
          <w:sz w:val="22"/>
          <w:lang w:val="sr-Cyrl-RS"/>
        </w:rPr>
        <w:t>држављани</w:t>
      </w:r>
      <w:r w:rsidRPr="0030028B">
        <w:rPr>
          <w:sz w:val="22"/>
          <w:lang w:val="sr-Cyrl-RS"/>
        </w:rPr>
        <w:t xml:space="preserve"> Републике Србије, укључујући право да се финансирају из буџета. </w:t>
      </w:r>
      <w:r w:rsidRPr="00596191">
        <w:rPr>
          <w:sz w:val="22"/>
          <w:highlight w:val="lightGray"/>
          <w:lang w:val="sr-Cyrl-RS"/>
        </w:rPr>
        <w:t>Приликом пријављивања на конкурс потребно је предати нострификована школска документа или потврду о томе да је започета нострификација потребних школских докумената</w:t>
      </w:r>
      <w:r w:rsidRPr="0030028B">
        <w:rPr>
          <w:sz w:val="22"/>
          <w:lang w:val="sr-Cyrl-RS"/>
        </w:rPr>
        <w:t xml:space="preserve">. </w:t>
      </w:r>
      <w:r w:rsidRPr="00596191">
        <w:rPr>
          <w:sz w:val="22"/>
          <w:highlight w:val="lightGray"/>
          <w:lang w:val="sr-Cyrl-RS"/>
        </w:rPr>
        <w:t>Кандидати који поседују документа Републике Српске и бивше Републике Српске Крајине конкуришу без нострификације.</w:t>
      </w:r>
      <w:r w:rsidRPr="0030028B">
        <w:rPr>
          <w:sz w:val="22"/>
          <w:lang w:val="sr-Cyrl-RS"/>
        </w:rPr>
        <w:t xml:space="preserve"> Суседне земље у смислу овог упутства су: </w:t>
      </w:r>
      <w:r w:rsidR="00596191">
        <w:rPr>
          <w:sz w:val="22"/>
          <w:lang w:val="sr-Cyrl-RS"/>
        </w:rPr>
        <w:t xml:space="preserve">Република </w:t>
      </w:r>
      <w:r w:rsidRPr="0030028B">
        <w:rPr>
          <w:sz w:val="22"/>
          <w:lang w:val="sr-Cyrl-RS"/>
        </w:rPr>
        <w:t xml:space="preserve">Мађарска, </w:t>
      </w:r>
      <w:r w:rsidR="00596191">
        <w:rPr>
          <w:sz w:val="22"/>
          <w:lang w:val="sr-Cyrl-RS"/>
        </w:rPr>
        <w:t xml:space="preserve">Република </w:t>
      </w:r>
      <w:r w:rsidRPr="0030028B">
        <w:rPr>
          <w:sz w:val="22"/>
          <w:lang w:val="sr-Cyrl-RS"/>
        </w:rPr>
        <w:t xml:space="preserve">Румунија, </w:t>
      </w:r>
      <w:r w:rsidR="00596191">
        <w:rPr>
          <w:sz w:val="22"/>
          <w:lang w:val="sr-Cyrl-RS"/>
        </w:rPr>
        <w:t xml:space="preserve">Народна Република </w:t>
      </w:r>
      <w:r w:rsidRPr="0030028B">
        <w:rPr>
          <w:sz w:val="22"/>
          <w:lang w:val="sr-Cyrl-RS"/>
        </w:rPr>
        <w:t xml:space="preserve">Бугарска, </w:t>
      </w:r>
      <w:r w:rsidR="00596191">
        <w:rPr>
          <w:sz w:val="22"/>
          <w:lang w:val="sr-Cyrl-RS"/>
        </w:rPr>
        <w:t xml:space="preserve">БЈР </w:t>
      </w:r>
      <w:r w:rsidRPr="0030028B">
        <w:rPr>
          <w:sz w:val="22"/>
          <w:lang w:val="sr-Cyrl-RS"/>
        </w:rPr>
        <w:t xml:space="preserve">Македонија, </w:t>
      </w:r>
      <w:r w:rsidR="00596191">
        <w:rPr>
          <w:sz w:val="22"/>
          <w:lang w:val="sr-Cyrl-RS"/>
        </w:rPr>
        <w:t xml:space="preserve">Република </w:t>
      </w:r>
      <w:r w:rsidRPr="0030028B">
        <w:rPr>
          <w:sz w:val="22"/>
          <w:lang w:val="sr-Cyrl-RS"/>
        </w:rPr>
        <w:t xml:space="preserve">Албанија, Босна и Херцеговина, </w:t>
      </w:r>
      <w:r w:rsidR="00596191">
        <w:rPr>
          <w:sz w:val="22"/>
          <w:lang w:val="sr-Cyrl-RS"/>
        </w:rPr>
        <w:t xml:space="preserve">Република </w:t>
      </w:r>
      <w:r w:rsidRPr="0030028B">
        <w:rPr>
          <w:sz w:val="22"/>
          <w:lang w:val="sr-Cyrl-RS"/>
        </w:rPr>
        <w:t xml:space="preserve">Словенија, </w:t>
      </w:r>
      <w:r w:rsidR="00596191">
        <w:rPr>
          <w:sz w:val="22"/>
          <w:lang w:val="sr-Cyrl-RS"/>
        </w:rPr>
        <w:t xml:space="preserve">Република </w:t>
      </w:r>
      <w:r w:rsidRPr="0030028B">
        <w:rPr>
          <w:sz w:val="22"/>
          <w:lang w:val="sr-Cyrl-RS"/>
        </w:rPr>
        <w:t>Хрватска и Црна Гора. Кандидати своју нацоналност потврђују писаном изјавом.</w:t>
      </w:r>
    </w:p>
    <w:p w:rsidR="003B509B" w:rsidRPr="0030028B" w:rsidRDefault="003B509B" w:rsidP="003B509B">
      <w:pPr>
        <w:spacing w:before="60"/>
        <w:jc w:val="both"/>
        <w:rPr>
          <w:sz w:val="22"/>
          <w:lang w:val="sr-Cyrl-RS"/>
        </w:rPr>
      </w:pPr>
      <w:r w:rsidRPr="00596191">
        <w:rPr>
          <w:sz w:val="22"/>
          <w:highlight w:val="lightGray"/>
          <w:lang w:val="sr-Cyrl-RS"/>
        </w:rPr>
        <w:t>Поступку нострификације и еквиваленције не подлежу дипломе и сведочанства из Републике Српске, дипломе и сведочанства стечена за време постојања Државне Заједнице Србије и Црне Горе и дипломе и сведочанства стечена за време постојања бивше СФРЈ, у бившим републикама.</w:t>
      </w:r>
    </w:p>
    <w:p w:rsidR="000432DE" w:rsidRPr="0030028B" w:rsidRDefault="000432DE" w:rsidP="003B509B">
      <w:pPr>
        <w:spacing w:before="120"/>
        <w:jc w:val="both"/>
        <w:rPr>
          <w:b/>
          <w:sz w:val="22"/>
          <w:lang w:val="sr-Cyrl-RS"/>
        </w:rPr>
      </w:pPr>
      <w:r w:rsidRPr="0030028B">
        <w:rPr>
          <w:b/>
          <w:sz w:val="22"/>
          <w:lang w:val="sr-Cyrl-RS"/>
        </w:rPr>
        <w:t>УПИС СТУДЕНАТА – СТРАНИХ ДРЖАВЉАНА</w:t>
      </w:r>
    </w:p>
    <w:p w:rsidR="000432DE" w:rsidRPr="0030028B" w:rsidRDefault="000432DE" w:rsidP="000432DE">
      <w:pPr>
        <w:spacing w:before="60"/>
        <w:jc w:val="both"/>
        <w:rPr>
          <w:sz w:val="22"/>
          <w:lang w:val="sr-Cyrl-RS"/>
        </w:rPr>
      </w:pPr>
      <w:r w:rsidRPr="0030028B">
        <w:rPr>
          <w:sz w:val="22"/>
          <w:lang w:val="sr-Cyrl-RS"/>
        </w:rPr>
        <w:t xml:space="preserve">Страни држављани уписују се у </w:t>
      </w:r>
      <w:r w:rsidR="00596191">
        <w:rPr>
          <w:sz w:val="22"/>
          <w:lang w:val="sr-Cyrl-RS"/>
        </w:rPr>
        <w:t xml:space="preserve">прву годину студија </w:t>
      </w:r>
      <w:r w:rsidRPr="0030028B">
        <w:rPr>
          <w:sz w:val="22"/>
          <w:lang w:val="sr-Cyrl-RS"/>
        </w:rPr>
        <w:t>под истим условима као и држављани</w:t>
      </w:r>
      <w:r w:rsidR="00596191">
        <w:rPr>
          <w:sz w:val="22"/>
          <w:lang w:val="sr-Cyrl-RS"/>
        </w:rPr>
        <w:t xml:space="preserve"> Републике Србије</w:t>
      </w:r>
      <w:r w:rsidRPr="0030028B">
        <w:rPr>
          <w:sz w:val="22"/>
          <w:lang w:val="sr-Cyrl-RS"/>
        </w:rPr>
        <w:t>, у оквиру одобрене квоте за упис.</w:t>
      </w:r>
    </w:p>
    <w:p w:rsidR="000432DE" w:rsidRPr="0030028B" w:rsidRDefault="000432DE" w:rsidP="000432DE">
      <w:pPr>
        <w:spacing w:before="60"/>
        <w:jc w:val="both"/>
        <w:rPr>
          <w:sz w:val="22"/>
          <w:lang w:val="sr-Cyrl-RS"/>
        </w:rPr>
      </w:pPr>
      <w:r w:rsidRPr="0030028B">
        <w:rPr>
          <w:sz w:val="22"/>
          <w:lang w:val="sr-Cyrl-RS"/>
        </w:rPr>
        <w:lastRenderedPageBreak/>
        <w:t>Кандидат – страни држављанин, приликом пријављивања на конкурс, подноси нострификовану диплому о завршеном средњем образовању.</w:t>
      </w:r>
    </w:p>
    <w:p w:rsidR="000432DE" w:rsidRPr="0030028B" w:rsidRDefault="000432DE" w:rsidP="000432DE">
      <w:pPr>
        <w:spacing w:before="60"/>
        <w:jc w:val="both"/>
        <w:rPr>
          <w:sz w:val="22"/>
          <w:lang w:val="sr-Cyrl-RS"/>
        </w:rPr>
      </w:pPr>
      <w:r w:rsidRPr="0030028B">
        <w:rPr>
          <w:sz w:val="22"/>
          <w:lang w:val="sr-Cyrl-RS"/>
        </w:rPr>
        <w:t>Пре уписа, кандидат страни држављанин, дужан је да Школи поднесе доказе:</w:t>
      </w:r>
    </w:p>
    <w:p w:rsidR="000432DE" w:rsidRPr="0030028B" w:rsidRDefault="000432DE" w:rsidP="000432DE">
      <w:pPr>
        <w:pStyle w:val="ListParagraph"/>
        <w:numPr>
          <w:ilvl w:val="0"/>
          <w:numId w:val="1"/>
        </w:numPr>
        <w:spacing w:before="60"/>
        <w:jc w:val="both"/>
        <w:rPr>
          <w:sz w:val="22"/>
          <w:lang w:val="sr-Cyrl-RS"/>
        </w:rPr>
      </w:pPr>
      <w:r w:rsidRPr="0030028B">
        <w:rPr>
          <w:sz w:val="22"/>
          <w:lang w:val="sr-Cyrl-RS"/>
        </w:rPr>
        <w:t>да је здравствено осигуран за школску годину у коју се уписује,</w:t>
      </w:r>
    </w:p>
    <w:p w:rsidR="000432DE" w:rsidRPr="0030028B" w:rsidRDefault="000432DE" w:rsidP="000432DE">
      <w:pPr>
        <w:pStyle w:val="ListParagraph"/>
        <w:numPr>
          <w:ilvl w:val="0"/>
          <w:numId w:val="1"/>
        </w:numPr>
        <w:spacing w:before="60"/>
        <w:jc w:val="both"/>
        <w:rPr>
          <w:sz w:val="22"/>
          <w:lang w:val="sr-Cyrl-RS"/>
        </w:rPr>
      </w:pPr>
      <w:r w:rsidRPr="0030028B">
        <w:rPr>
          <w:sz w:val="22"/>
          <w:lang w:val="sr-Cyrl-RS"/>
        </w:rPr>
        <w:t>да влада српским језиком, што доказује уверењем овлашћене комисије, у складу са Статутом Школе.</w:t>
      </w:r>
    </w:p>
    <w:p w:rsidR="000432DE" w:rsidRPr="0030028B" w:rsidRDefault="000432DE" w:rsidP="000432DE">
      <w:pPr>
        <w:spacing w:before="60"/>
        <w:jc w:val="both"/>
        <w:rPr>
          <w:sz w:val="22"/>
          <w:lang w:val="sr-Cyrl-RS"/>
        </w:rPr>
      </w:pPr>
      <w:r w:rsidRPr="0030028B">
        <w:rPr>
          <w:sz w:val="22"/>
          <w:lang w:val="sr-Cyrl-RS"/>
        </w:rPr>
        <w:t xml:space="preserve">Студент – страни држављан плаћа школарину у износу од </w:t>
      </w:r>
      <w:r w:rsidRPr="000B7861">
        <w:rPr>
          <w:color w:val="000000" w:themeColor="text1"/>
          <w:sz w:val="22"/>
          <w:lang w:val="sr-Cyrl-RS"/>
        </w:rPr>
        <w:t>1300</w:t>
      </w:r>
      <w:r w:rsidRPr="00FB0AB9">
        <w:rPr>
          <w:color w:val="00B050"/>
          <w:sz w:val="22"/>
          <w:lang w:val="sr-Cyrl-RS"/>
        </w:rPr>
        <w:t xml:space="preserve"> </w:t>
      </w:r>
      <w:r w:rsidRPr="0030028B">
        <w:rPr>
          <w:sz w:val="22"/>
          <w:lang w:val="sr-Cyrl-RS"/>
        </w:rPr>
        <w:t>УСА долара, односно 60% од овог износа, уколико са државом чији је он држављанин постоји реципроцитет у погледу плаћања школарине или студија.</w:t>
      </w:r>
    </w:p>
    <w:p w:rsidR="000432DE" w:rsidRPr="0030028B" w:rsidRDefault="000432DE" w:rsidP="000432DE">
      <w:pPr>
        <w:spacing w:before="120"/>
        <w:jc w:val="both"/>
        <w:rPr>
          <w:b/>
          <w:sz w:val="22"/>
          <w:lang w:val="sr-Cyrl-RS"/>
        </w:rPr>
      </w:pPr>
      <w:r w:rsidRPr="0030028B">
        <w:rPr>
          <w:b/>
          <w:sz w:val="22"/>
          <w:lang w:val="sr-Cyrl-RS"/>
        </w:rPr>
        <w:t>НАПОМЕНА:</w:t>
      </w:r>
    </w:p>
    <w:p w:rsidR="000432DE" w:rsidRPr="0030028B" w:rsidRDefault="000432DE" w:rsidP="000432DE">
      <w:pPr>
        <w:spacing w:before="60"/>
        <w:jc w:val="both"/>
        <w:rPr>
          <w:b/>
          <w:sz w:val="22"/>
          <w:lang w:val="sr-Cyrl-RS"/>
        </w:rPr>
      </w:pPr>
      <w:r w:rsidRPr="0030028B">
        <w:rPr>
          <w:b/>
          <w:sz w:val="22"/>
          <w:lang w:val="sr-Cyrl-RS"/>
        </w:rPr>
        <w:t>Фотокопије докумената кандидата који нису примљени на конкурс се не враћају.</w:t>
      </w:r>
    </w:p>
    <w:p w:rsidR="000432DE" w:rsidRPr="0030028B" w:rsidRDefault="000432DE" w:rsidP="000432DE">
      <w:pPr>
        <w:spacing w:before="60"/>
        <w:jc w:val="both"/>
        <w:rPr>
          <w:sz w:val="22"/>
          <w:lang w:val="sr-Cyrl-RS"/>
        </w:rPr>
      </w:pPr>
    </w:p>
    <w:tbl>
      <w:tblPr>
        <w:tblStyle w:val="TableGrid"/>
        <w:tblW w:w="0" w:type="auto"/>
        <w:jc w:val="center"/>
        <w:tblLook w:val="04A0" w:firstRow="1" w:lastRow="0" w:firstColumn="1" w:lastColumn="0" w:noHBand="0" w:noVBand="1"/>
      </w:tblPr>
      <w:tblGrid>
        <w:gridCol w:w="4338"/>
      </w:tblGrid>
      <w:tr w:rsidR="000432DE" w:rsidRPr="0030028B" w:rsidTr="00447526">
        <w:trPr>
          <w:jc w:val="center"/>
        </w:trPr>
        <w:tc>
          <w:tcPr>
            <w:tcW w:w="4338" w:type="dxa"/>
          </w:tcPr>
          <w:p w:rsidR="000432DE" w:rsidRPr="0030028B" w:rsidRDefault="000432DE" w:rsidP="00447526">
            <w:pPr>
              <w:spacing w:before="60"/>
              <w:jc w:val="center"/>
              <w:rPr>
                <w:b/>
                <w:sz w:val="22"/>
                <w:lang w:val="sr-Cyrl-RS"/>
              </w:rPr>
            </w:pPr>
            <w:r w:rsidRPr="0030028B">
              <w:rPr>
                <w:b/>
                <w:sz w:val="22"/>
                <w:lang w:val="sr-Cyrl-RS"/>
              </w:rPr>
              <w:t>ИНФОРМАЦИЈЕ:</w:t>
            </w:r>
          </w:p>
          <w:p w:rsidR="000432DE" w:rsidRPr="0030028B" w:rsidRDefault="000432DE" w:rsidP="00447526">
            <w:pPr>
              <w:spacing w:before="60"/>
              <w:jc w:val="center"/>
              <w:rPr>
                <w:b/>
                <w:sz w:val="22"/>
                <w:lang w:val="sr-Cyrl-RS"/>
              </w:rPr>
            </w:pPr>
            <w:r w:rsidRPr="0030028B">
              <w:rPr>
                <w:b/>
                <w:sz w:val="22"/>
                <w:lang w:val="sr-Cyrl-RS"/>
              </w:rPr>
              <w:t>Телефони: (021) 485-4056</w:t>
            </w:r>
            <w:r w:rsidRPr="0030028B">
              <w:rPr>
                <w:b/>
                <w:sz w:val="22"/>
              </w:rPr>
              <w:t xml:space="preserve"> </w:t>
            </w:r>
            <w:r w:rsidRPr="0030028B">
              <w:rPr>
                <w:b/>
                <w:sz w:val="22"/>
                <w:lang w:val="sr-Cyrl-RS"/>
              </w:rPr>
              <w:t xml:space="preserve">; 450-103 ; </w:t>
            </w:r>
          </w:p>
          <w:p w:rsidR="000432DE" w:rsidRPr="0030028B" w:rsidRDefault="000432DE" w:rsidP="00447526">
            <w:pPr>
              <w:spacing w:before="60"/>
              <w:jc w:val="center"/>
              <w:rPr>
                <w:b/>
                <w:sz w:val="22"/>
                <w:lang w:val="sr-Cyrl-RS"/>
              </w:rPr>
            </w:pPr>
            <w:r w:rsidRPr="0030028B">
              <w:rPr>
                <w:b/>
                <w:sz w:val="22"/>
                <w:lang w:val="sr-Cyrl-RS"/>
              </w:rPr>
              <w:t>485-4000</w:t>
            </w:r>
          </w:p>
          <w:p w:rsidR="000432DE" w:rsidRPr="0030028B" w:rsidRDefault="000432DE" w:rsidP="00447526">
            <w:pPr>
              <w:spacing w:before="60"/>
              <w:jc w:val="center"/>
              <w:rPr>
                <w:b/>
                <w:sz w:val="22"/>
                <w:lang w:val="sr-Cyrl-RS"/>
              </w:rPr>
            </w:pPr>
            <w:r w:rsidRPr="0030028B">
              <w:rPr>
                <w:b/>
                <w:sz w:val="22"/>
                <w:lang w:val="sr-Cyrl-RS"/>
              </w:rPr>
              <w:t>Факс: (021) 6350-367</w:t>
            </w:r>
          </w:p>
          <w:p w:rsidR="000432DE" w:rsidRPr="0030028B" w:rsidRDefault="000432DE" w:rsidP="00447526">
            <w:pPr>
              <w:spacing w:before="60"/>
              <w:jc w:val="center"/>
              <w:rPr>
                <w:b/>
                <w:sz w:val="22"/>
              </w:rPr>
            </w:pPr>
            <w:r w:rsidRPr="0030028B">
              <w:rPr>
                <w:b/>
                <w:sz w:val="22"/>
                <w:lang w:val="sr-Cyrl-RS"/>
              </w:rPr>
              <w:t>Е-</w:t>
            </w:r>
            <w:r w:rsidRPr="0030028B">
              <w:rPr>
                <w:b/>
                <w:sz w:val="22"/>
              </w:rPr>
              <w:t>mail</w:t>
            </w:r>
            <w:r w:rsidRPr="0030028B">
              <w:rPr>
                <w:b/>
                <w:sz w:val="22"/>
                <w:lang w:val="sr-Latn-RS"/>
              </w:rPr>
              <w:t>:</w:t>
            </w:r>
            <w:r w:rsidRPr="0030028B">
              <w:rPr>
                <w:b/>
                <w:sz w:val="22"/>
              </w:rPr>
              <w:t xml:space="preserve"> </w:t>
            </w:r>
            <w:bookmarkStart w:id="0" w:name="_GoBack"/>
            <w:r w:rsidR="003F70DF" w:rsidRPr="003F70DF">
              <w:rPr>
                <w:rFonts w:cs="Times New Roman"/>
                <w:b/>
                <w:sz w:val="22"/>
              </w:rPr>
              <w:fldChar w:fldCharType="begin"/>
            </w:r>
            <w:r w:rsidR="003F70DF" w:rsidRPr="003F70DF">
              <w:rPr>
                <w:rFonts w:cs="Times New Roman"/>
                <w:b/>
                <w:sz w:val="22"/>
              </w:rPr>
              <w:instrText xml:space="preserve"> HYPERLINK "mailto:vps_info@uns.ns.ac.rs" </w:instrText>
            </w:r>
            <w:r w:rsidR="003F70DF" w:rsidRPr="003F70DF">
              <w:rPr>
                <w:rFonts w:cs="Times New Roman"/>
                <w:b/>
                <w:sz w:val="22"/>
              </w:rPr>
              <w:fldChar w:fldCharType="separate"/>
            </w:r>
            <w:r w:rsidR="003F70DF" w:rsidRPr="003F70DF">
              <w:rPr>
                <w:rStyle w:val="Hyperlink"/>
                <w:rFonts w:cs="Times New Roman"/>
                <w:b/>
                <w:color w:val="auto"/>
                <w:sz w:val="22"/>
              </w:rPr>
              <w:t>info@vps.ns.ac.rs</w:t>
            </w:r>
            <w:r w:rsidR="003F70DF" w:rsidRPr="003F70DF">
              <w:rPr>
                <w:rFonts w:cs="Times New Roman"/>
                <w:b/>
                <w:sz w:val="22"/>
              </w:rPr>
              <w:fldChar w:fldCharType="end"/>
            </w:r>
            <w:bookmarkEnd w:id="0"/>
          </w:p>
          <w:p w:rsidR="000432DE" w:rsidRPr="0030028B" w:rsidRDefault="000432DE" w:rsidP="00447526">
            <w:pPr>
              <w:spacing w:before="60"/>
              <w:jc w:val="center"/>
              <w:rPr>
                <w:b/>
                <w:sz w:val="22"/>
              </w:rPr>
            </w:pPr>
            <w:r w:rsidRPr="0030028B">
              <w:rPr>
                <w:b/>
                <w:sz w:val="22"/>
                <w:lang w:val="sr-Cyrl-RS"/>
              </w:rPr>
              <w:t xml:space="preserve">Веб сајт: </w:t>
            </w:r>
            <w:hyperlink r:id="rId6" w:history="1">
              <w:r w:rsidRPr="0030028B">
                <w:rPr>
                  <w:rStyle w:val="Hyperlink"/>
                  <w:b/>
                  <w:color w:val="auto"/>
                  <w:sz w:val="22"/>
                </w:rPr>
                <w:t>www.vps.ns.ac.rs</w:t>
              </w:r>
            </w:hyperlink>
          </w:p>
          <w:p w:rsidR="000432DE" w:rsidRPr="0030028B" w:rsidRDefault="000432DE" w:rsidP="00447526">
            <w:pPr>
              <w:spacing w:before="60"/>
              <w:jc w:val="center"/>
              <w:rPr>
                <w:b/>
                <w:sz w:val="22"/>
              </w:rPr>
            </w:pPr>
            <w:r w:rsidRPr="0030028B">
              <w:rPr>
                <w:b/>
                <w:sz w:val="22"/>
              </w:rPr>
              <w:t>Facebook</w:t>
            </w:r>
          </w:p>
        </w:tc>
      </w:tr>
    </w:tbl>
    <w:p w:rsidR="000432DE" w:rsidRPr="0030028B" w:rsidRDefault="000432DE" w:rsidP="000432DE">
      <w:pPr>
        <w:spacing w:before="60"/>
        <w:jc w:val="both"/>
        <w:rPr>
          <w:sz w:val="22"/>
          <w:lang w:val="sr-Cyrl-RS"/>
        </w:rPr>
      </w:pPr>
    </w:p>
    <w:p w:rsidR="000432DE" w:rsidRPr="0030028B" w:rsidRDefault="000432DE" w:rsidP="000432DE">
      <w:pPr>
        <w:spacing w:before="60"/>
        <w:jc w:val="both"/>
        <w:rPr>
          <w:sz w:val="22"/>
          <w:lang w:val="sr-Cyrl-RS"/>
        </w:rPr>
      </w:pPr>
    </w:p>
    <w:p w:rsidR="000432DE" w:rsidRPr="0030028B" w:rsidRDefault="000432DE" w:rsidP="000432DE">
      <w:pPr>
        <w:spacing w:before="60"/>
        <w:ind w:left="5040"/>
        <w:jc w:val="center"/>
        <w:rPr>
          <w:sz w:val="22"/>
          <w:lang w:val="sr-Cyrl-RS"/>
        </w:rPr>
      </w:pPr>
      <w:r>
        <w:rPr>
          <w:sz w:val="22"/>
          <w:lang w:val="sr-Cyrl-RS"/>
        </w:rPr>
        <w:t xml:space="preserve">В. Д.  </w:t>
      </w:r>
      <w:r w:rsidRPr="0030028B">
        <w:rPr>
          <w:sz w:val="22"/>
          <w:lang w:val="sr-Cyrl-RS"/>
        </w:rPr>
        <w:t>Д И Р Е К Т О Р</w:t>
      </w:r>
      <w:r w:rsidR="005F43E8">
        <w:rPr>
          <w:sz w:val="22"/>
          <w:lang w:val="sr-Cyrl-RS"/>
        </w:rPr>
        <w:t xml:space="preserve"> - а</w:t>
      </w:r>
    </w:p>
    <w:p w:rsidR="000432DE" w:rsidRPr="0030028B" w:rsidRDefault="000432DE" w:rsidP="000432DE">
      <w:pPr>
        <w:spacing w:before="60"/>
        <w:ind w:left="5040"/>
        <w:jc w:val="center"/>
        <w:rPr>
          <w:sz w:val="22"/>
          <w:lang w:val="sr-Cyrl-RS"/>
        </w:rPr>
      </w:pPr>
      <w:r>
        <w:rPr>
          <w:sz w:val="22"/>
          <w:lang w:val="sr-Cyrl-RS"/>
        </w:rPr>
        <w:t>Др Јелена Дамњановић</w:t>
      </w:r>
    </w:p>
    <w:p w:rsidR="000432DE" w:rsidRDefault="000432DE" w:rsidP="000432DE"/>
    <w:p w:rsidR="000432DE" w:rsidRDefault="000432DE" w:rsidP="000432DE"/>
    <w:p w:rsidR="000432DE" w:rsidRPr="000432DE" w:rsidRDefault="000432DE">
      <w:pPr>
        <w:rPr>
          <w:lang w:val="sr-Cyrl-RS"/>
        </w:rPr>
      </w:pPr>
    </w:p>
    <w:sectPr w:rsidR="000432DE" w:rsidRPr="000432DE" w:rsidSect="005B50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62320"/>
    <w:multiLevelType w:val="hybridMultilevel"/>
    <w:tmpl w:val="1DCC86DE"/>
    <w:lvl w:ilvl="0" w:tplc="A64E9E4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CF13A25"/>
    <w:multiLevelType w:val="hybridMultilevel"/>
    <w:tmpl w:val="0A76BA28"/>
    <w:lvl w:ilvl="0" w:tplc="A13042F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5A"/>
    <w:rsid w:val="0001606A"/>
    <w:rsid w:val="000432DE"/>
    <w:rsid w:val="00065808"/>
    <w:rsid w:val="000B7861"/>
    <w:rsid w:val="00137455"/>
    <w:rsid w:val="00224D5A"/>
    <w:rsid w:val="002A67C1"/>
    <w:rsid w:val="002D1968"/>
    <w:rsid w:val="003B509B"/>
    <w:rsid w:val="003D1B0E"/>
    <w:rsid w:val="003F70DF"/>
    <w:rsid w:val="00417737"/>
    <w:rsid w:val="0044352D"/>
    <w:rsid w:val="00452176"/>
    <w:rsid w:val="00527981"/>
    <w:rsid w:val="00543BB2"/>
    <w:rsid w:val="00596191"/>
    <w:rsid w:val="005F43E8"/>
    <w:rsid w:val="006C06DA"/>
    <w:rsid w:val="007762D5"/>
    <w:rsid w:val="007D2943"/>
    <w:rsid w:val="008E3DAB"/>
    <w:rsid w:val="00922DA8"/>
    <w:rsid w:val="00AC10F9"/>
    <w:rsid w:val="00C42AB3"/>
    <w:rsid w:val="00D14F9F"/>
    <w:rsid w:val="00DA69D1"/>
    <w:rsid w:val="00EE27C2"/>
    <w:rsid w:val="00EF3871"/>
    <w:rsid w:val="00F1525A"/>
    <w:rsid w:val="00F7257D"/>
    <w:rsid w:val="00FB0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5A"/>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25A"/>
    <w:pPr>
      <w:ind w:left="720"/>
      <w:contextualSpacing/>
    </w:pPr>
  </w:style>
  <w:style w:type="table" w:styleId="TableGrid">
    <w:name w:val="Table Grid"/>
    <w:basedOn w:val="TableNormal"/>
    <w:rsid w:val="00F15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525A"/>
    <w:rPr>
      <w:color w:val="0000FF" w:themeColor="hyperlink"/>
      <w:u w:val="single"/>
    </w:rPr>
  </w:style>
  <w:style w:type="paragraph" w:styleId="BalloonText">
    <w:name w:val="Balloon Text"/>
    <w:basedOn w:val="Normal"/>
    <w:link w:val="BalloonTextChar"/>
    <w:uiPriority w:val="99"/>
    <w:semiHidden/>
    <w:unhideWhenUsed/>
    <w:rsid w:val="000B78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8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5A"/>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25A"/>
    <w:pPr>
      <w:ind w:left="720"/>
      <w:contextualSpacing/>
    </w:pPr>
  </w:style>
  <w:style w:type="table" w:styleId="TableGrid">
    <w:name w:val="Table Grid"/>
    <w:basedOn w:val="TableNormal"/>
    <w:rsid w:val="00F15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525A"/>
    <w:rPr>
      <w:color w:val="0000FF" w:themeColor="hyperlink"/>
      <w:u w:val="single"/>
    </w:rPr>
  </w:style>
  <w:style w:type="paragraph" w:styleId="BalloonText">
    <w:name w:val="Balloon Text"/>
    <w:basedOn w:val="Normal"/>
    <w:link w:val="BalloonTextChar"/>
    <w:uiPriority w:val="99"/>
    <w:semiHidden/>
    <w:unhideWhenUsed/>
    <w:rsid w:val="000B78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8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ps.ns.ac.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Visoka poslovna škola strukovnih studija Novi Sad</Company>
  <LinksUpToDate>false</LinksUpToDate>
  <CharactersWithSpaces>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Janićijević</dc:creator>
  <cp:lastModifiedBy>Vladimir Ančić</cp:lastModifiedBy>
  <cp:revision>3</cp:revision>
  <cp:lastPrinted>2017-06-12T10:59:00Z</cp:lastPrinted>
  <dcterms:created xsi:type="dcterms:W3CDTF">2017-06-19T07:59:00Z</dcterms:created>
  <dcterms:modified xsi:type="dcterms:W3CDTF">2017-06-21T09:18:00Z</dcterms:modified>
</cp:coreProperties>
</file>