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5"/>
        <w:gridCol w:w="937"/>
        <w:gridCol w:w="1568"/>
        <w:gridCol w:w="1448"/>
        <w:gridCol w:w="161"/>
        <w:gridCol w:w="1824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3D3329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6264CC">
        <w:trPr>
          <w:trHeight w:val="235"/>
        </w:trPr>
        <w:tc>
          <w:tcPr>
            <w:tcW w:w="2170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033B98" w:rsidRPr="004B7688" w:rsidRDefault="004B7688" w:rsidP="00CE5DCB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en-US"/>
              </w:rPr>
              <w:t>201</w:t>
            </w:r>
            <w:r w:rsidR="00CE5DCB">
              <w:rPr>
                <w:bCs/>
                <w:sz w:val="24"/>
                <w:szCs w:val="24"/>
                <w:lang w:val="en-US"/>
              </w:rPr>
              <w:t>8</w:t>
            </w:r>
            <w:r w:rsidR="00370A06">
              <w:rPr>
                <w:bCs/>
                <w:sz w:val="24"/>
                <w:szCs w:val="24"/>
                <w:lang w:val="en-US"/>
              </w:rPr>
              <w:t>/201</w:t>
            </w:r>
            <w:r w:rsidR="00CE5DCB">
              <w:rPr>
                <w:bCs/>
                <w:sz w:val="24"/>
                <w:szCs w:val="24"/>
                <w:lang w:val="en-US"/>
              </w:rPr>
              <w:t>9</w:t>
            </w:r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r w:rsidR="003D3329">
              <w:rPr>
                <w:bCs/>
                <w:sz w:val="24"/>
                <w:szCs w:val="24"/>
                <w:lang w:val="sr-Cyrl-RS"/>
              </w:rPr>
              <w:t>зимски</w:t>
            </w:r>
            <w:bookmarkStart w:id="0" w:name="_GoBack"/>
            <w:bookmarkEnd w:id="0"/>
            <w:r>
              <w:rPr>
                <w:bCs/>
                <w:sz w:val="24"/>
                <w:szCs w:val="24"/>
                <w:lang w:val="sr-Cyrl-RS"/>
              </w:rPr>
              <w:t xml:space="preserve"> семестар</w:t>
            </w:r>
          </w:p>
        </w:tc>
      </w:tr>
      <w:tr w:rsidR="008D47D3" w:rsidRPr="002D43DE" w:rsidTr="006264CC">
        <w:trPr>
          <w:trHeight w:val="235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8D47D3" w:rsidRPr="00370A06" w:rsidRDefault="003B77AA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Финансијско пословање и рачуноводство; Трговина и међународно пословање</w:t>
            </w:r>
          </w:p>
        </w:tc>
      </w:tr>
      <w:tr w:rsidR="008D47D3" w:rsidRPr="002D43DE" w:rsidTr="006264CC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2D43DE" w:rsidRDefault="004B768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Међунароно опорезивање</w:t>
            </w:r>
          </w:p>
        </w:tc>
      </w:tr>
      <w:tr w:rsidR="008D47D3" w:rsidRPr="002D43DE" w:rsidTr="006264CC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2D43DE" w:rsidRDefault="004B7688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Марија Вуковић</w:t>
            </w:r>
          </w:p>
        </w:tc>
      </w:tr>
      <w:tr w:rsidR="0019398C" w:rsidRPr="002D43DE" w:rsidTr="006264CC">
        <w:trPr>
          <w:trHeight w:val="232"/>
        </w:trPr>
        <w:tc>
          <w:tcPr>
            <w:tcW w:w="2170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8" w:type="dxa"/>
            <w:gridSpan w:val="6"/>
          </w:tcPr>
          <w:p w:rsidR="0019398C" w:rsidRPr="002D43DE" w:rsidRDefault="00CE5DCB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Марија Вуковић</w:t>
            </w:r>
          </w:p>
        </w:tc>
      </w:tr>
      <w:tr w:rsidR="008D47D3" w:rsidRPr="002D43DE" w:rsidTr="006264CC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2D43DE" w:rsidRDefault="004B7688" w:rsidP="004B7688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Изборни </w:t>
            </w:r>
          </w:p>
        </w:tc>
      </w:tr>
      <w:tr w:rsidR="008D47D3" w:rsidRPr="002D43DE" w:rsidTr="006264CC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2D43DE" w:rsidRDefault="004B7688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3+2 (6)</w:t>
            </w:r>
          </w:p>
        </w:tc>
      </w:tr>
      <w:tr w:rsidR="008D47D3" w:rsidRPr="002D43DE" w:rsidTr="006264CC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8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2D43DE" w:rsidRDefault="006264CC" w:rsidP="006264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Циљ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предмета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је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упознавање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студената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пореским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системима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у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другим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државама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као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разматрање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проблематике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избегавања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двоструког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правног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опорезивања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између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домицилног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конкурентних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пореских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система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других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држава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Када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говоримо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о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међународним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пореским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системима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посебну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r w:rsidRPr="006264CC">
              <w:rPr>
                <w:sz w:val="24"/>
                <w:szCs w:val="24"/>
                <w:lang w:val="sr-Cyrl-RS" w:eastAsia="en-US"/>
              </w:rPr>
              <w:t>п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ажњу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треба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обратити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на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порески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систем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Европске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уније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чији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члан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претендујемо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постанемо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Овај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предмет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ће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упознати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студенте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наднационалним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системом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финансирања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ЕУ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тј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proofErr w:type="gramStart"/>
            <w:r w:rsidRPr="006264CC">
              <w:rPr>
                <w:sz w:val="24"/>
                <w:szCs w:val="24"/>
                <w:lang w:val="en-US" w:eastAsia="en-US"/>
              </w:rPr>
              <w:t>анализираће</w:t>
            </w:r>
            <w:proofErr w:type="spellEnd"/>
            <w:proofErr w:type="gram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начин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на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који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Унија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прикупља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средства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као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принципе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на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бази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којих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алоцира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државама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чланицама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Даље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разматрају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договори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о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избегавању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двоструког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опорезивања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између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суверених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пореских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система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када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обе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државе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полажу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право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на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исти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порески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објекат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Овај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предмет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ће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упутити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студенте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како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овај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проблем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решава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у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савременом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свету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који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принципи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важе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када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је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у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питању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расподела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истог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пореског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објекта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између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две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државе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2D43DE" w:rsidRDefault="006264CC" w:rsidP="006264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Савладавањем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овог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предмета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студент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стиче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знања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из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области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међународних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пореских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система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која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могу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му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помогну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у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пословима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спољно-трговинске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међународне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инвестиционе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или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финансијске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сарадње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другим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државама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Стичу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знања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везана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питање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европских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претприступних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фондова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која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могу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помоћи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потенцијалним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предузетницима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који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одлуче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тај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извор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финансирања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Друго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међународна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сарадња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која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подразумева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прекограничну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трговину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инвестирање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имплицира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настанак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одређених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прихода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који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атрактивни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како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државу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резидента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пореског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обвезника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тако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земљу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извора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у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коме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је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тај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приход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створен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Добијена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знања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могу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користити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будућим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пословним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људима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који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баве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пословањем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у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међународној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сарадњи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. 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6264CC" w:rsidRPr="006264CC" w:rsidRDefault="006264CC" w:rsidP="006264C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426" w:hanging="284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Општи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принципи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функционисања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буџета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Европске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уније</w:t>
            </w:r>
            <w:proofErr w:type="spellEnd"/>
          </w:p>
          <w:p w:rsidR="006264CC" w:rsidRPr="006264CC" w:rsidRDefault="006264CC" w:rsidP="006264C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426" w:hanging="284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Систем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финансирања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расходи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општег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буџета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Европске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уније</w:t>
            </w:r>
            <w:proofErr w:type="spellEnd"/>
          </w:p>
          <w:p w:rsidR="006264CC" w:rsidRPr="006264CC" w:rsidRDefault="006264CC" w:rsidP="006264C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426" w:hanging="284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Неопходност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промена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у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систему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прикупљања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властитих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прихода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Европске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Уније</w:t>
            </w:r>
            <w:proofErr w:type="spellEnd"/>
          </w:p>
          <w:p w:rsidR="006264CC" w:rsidRPr="006264CC" w:rsidRDefault="006264CC" w:rsidP="006264C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426" w:hanging="284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Појам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међународног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двоструког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опорезивања</w:t>
            </w:r>
            <w:proofErr w:type="spellEnd"/>
          </w:p>
          <w:p w:rsidR="006264CC" w:rsidRPr="006264CC" w:rsidRDefault="006264CC" w:rsidP="006264C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426" w:hanging="284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Порези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на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које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примењују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уговори</w:t>
            </w:r>
            <w:proofErr w:type="spellEnd"/>
          </w:p>
          <w:p w:rsidR="006264CC" w:rsidRPr="006264CC" w:rsidRDefault="006264CC" w:rsidP="006264C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426" w:hanging="284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Избегавање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двоструког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опорезивања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везано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приходе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од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непокретности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добити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камата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дивиденди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ауторских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накнада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провизија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капиталних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добитака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уметничког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рада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спорта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пензија</w:t>
            </w:r>
            <w:proofErr w:type="spellEnd"/>
          </w:p>
          <w:p w:rsidR="006264CC" w:rsidRPr="006264CC" w:rsidRDefault="006264CC" w:rsidP="006264C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426" w:hanging="284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Методе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отклањање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двоструког</w:t>
            </w:r>
            <w:proofErr w:type="spellEnd"/>
            <w:r w:rsidRPr="006264C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264CC">
              <w:rPr>
                <w:sz w:val="24"/>
                <w:szCs w:val="24"/>
                <w:lang w:val="en-US" w:eastAsia="en-US"/>
              </w:rPr>
              <w:t>опорезивања</w:t>
            </w:r>
            <w:proofErr w:type="spellEnd"/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6264CC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6264CC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6264CC" w:rsidRDefault="006264C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Појам и врсте фискалног оптерећења; Јавни сектор и јавна добра</w:t>
            </w:r>
          </w:p>
        </w:tc>
      </w:tr>
      <w:tr w:rsidR="00033B98" w:rsidRPr="002D43DE" w:rsidTr="006264C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6264CC" w:rsidRDefault="006264C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Појам и карактеристике јавних прихода</w:t>
            </w:r>
          </w:p>
        </w:tc>
      </w:tr>
      <w:tr w:rsidR="00033B98" w:rsidRPr="002D43DE" w:rsidTr="006264C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8243" w:type="dxa"/>
            <w:gridSpan w:val="7"/>
          </w:tcPr>
          <w:p w:rsidR="00033B98" w:rsidRPr="006264CC" w:rsidRDefault="006264C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Порези, појам и карактеристике; Теорије оправдања пореза</w:t>
            </w:r>
          </w:p>
        </w:tc>
      </w:tr>
      <w:tr w:rsidR="00033B98" w:rsidRPr="002D43DE" w:rsidTr="006264C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6264CC" w:rsidRDefault="006264C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Циљеви опорезивања; Ефекти опорезивања</w:t>
            </w:r>
          </w:p>
        </w:tc>
      </w:tr>
      <w:tr w:rsidR="00033B98" w:rsidRPr="002D43DE" w:rsidTr="006264C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6264CC" w:rsidRDefault="006264CC" w:rsidP="00185BCD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Појам међународног двоструког опорезивања</w:t>
            </w:r>
          </w:p>
        </w:tc>
      </w:tr>
      <w:tr w:rsidR="00033B98" w:rsidRPr="002D43DE" w:rsidTr="006264CC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6264CC" w:rsidRDefault="00185BC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Избегавање двоструког опорезивања</w:t>
            </w:r>
          </w:p>
        </w:tc>
      </w:tr>
      <w:tr w:rsidR="00185BCD" w:rsidRPr="002D43DE" w:rsidTr="006264CC">
        <w:trPr>
          <w:trHeight w:val="238"/>
        </w:trPr>
        <w:tc>
          <w:tcPr>
            <w:tcW w:w="1045" w:type="dxa"/>
          </w:tcPr>
          <w:p w:rsidR="00185BCD" w:rsidRPr="002D43DE" w:rsidRDefault="00185B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185BCD" w:rsidRPr="006264CC" w:rsidRDefault="00185BCD" w:rsidP="00611BB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Порески систем; Пореска конкуренција; Пореска хармонизација; Порески рајеви</w:t>
            </w:r>
          </w:p>
        </w:tc>
      </w:tr>
      <w:tr w:rsidR="00185BCD" w:rsidRPr="002D43DE" w:rsidTr="006264CC">
        <w:trPr>
          <w:trHeight w:val="238"/>
        </w:trPr>
        <w:tc>
          <w:tcPr>
            <w:tcW w:w="1045" w:type="dxa"/>
          </w:tcPr>
          <w:p w:rsidR="00185BCD" w:rsidRPr="002D43DE" w:rsidRDefault="00185B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185BCD" w:rsidRPr="00185BCD" w:rsidRDefault="00185BCD" w:rsidP="00611BB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Имовински порези</w:t>
            </w:r>
          </w:p>
        </w:tc>
      </w:tr>
      <w:tr w:rsidR="00185BCD" w:rsidRPr="002D43DE" w:rsidTr="006264CC">
        <w:trPr>
          <w:trHeight w:val="238"/>
        </w:trPr>
        <w:tc>
          <w:tcPr>
            <w:tcW w:w="1045" w:type="dxa"/>
          </w:tcPr>
          <w:p w:rsidR="00185BCD" w:rsidRPr="002D43DE" w:rsidRDefault="00185B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185BCD" w:rsidRPr="00185BCD" w:rsidRDefault="00185BCD" w:rsidP="00611BB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Порез на доходак физичких лица</w:t>
            </w:r>
          </w:p>
        </w:tc>
      </w:tr>
      <w:tr w:rsidR="00185BCD" w:rsidRPr="002D43DE" w:rsidTr="006264CC">
        <w:trPr>
          <w:trHeight w:val="238"/>
        </w:trPr>
        <w:tc>
          <w:tcPr>
            <w:tcW w:w="1045" w:type="dxa"/>
          </w:tcPr>
          <w:p w:rsidR="00185BCD" w:rsidRPr="002D43DE" w:rsidRDefault="00185B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185BCD" w:rsidRPr="00185BCD" w:rsidRDefault="00185BCD" w:rsidP="00611BB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Порез на добит предузећа</w:t>
            </w:r>
          </w:p>
        </w:tc>
      </w:tr>
      <w:tr w:rsidR="00185BCD" w:rsidRPr="002D43DE" w:rsidTr="006264CC">
        <w:trPr>
          <w:trHeight w:val="238"/>
        </w:trPr>
        <w:tc>
          <w:tcPr>
            <w:tcW w:w="1045" w:type="dxa"/>
          </w:tcPr>
          <w:p w:rsidR="00185BCD" w:rsidRPr="002D43DE" w:rsidRDefault="00185B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185BCD" w:rsidRPr="00185BCD" w:rsidRDefault="00185BCD" w:rsidP="00611BB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Порези на потрошњу</w:t>
            </w:r>
          </w:p>
        </w:tc>
      </w:tr>
      <w:tr w:rsidR="00185BCD" w:rsidRPr="002D43DE" w:rsidTr="006264CC">
        <w:trPr>
          <w:trHeight w:val="238"/>
        </w:trPr>
        <w:tc>
          <w:tcPr>
            <w:tcW w:w="1045" w:type="dxa"/>
          </w:tcPr>
          <w:p w:rsidR="00185BCD" w:rsidRPr="002D43DE" w:rsidRDefault="00185B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185BCD" w:rsidRPr="00185BCD" w:rsidRDefault="00185BC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Фискална политика у европској монетарној Унији</w:t>
            </w:r>
          </w:p>
        </w:tc>
      </w:tr>
      <w:tr w:rsidR="00185BCD" w:rsidRPr="002D43DE" w:rsidTr="006264CC">
        <w:trPr>
          <w:trHeight w:val="238"/>
        </w:trPr>
        <w:tc>
          <w:tcPr>
            <w:tcW w:w="1045" w:type="dxa"/>
          </w:tcPr>
          <w:p w:rsidR="00185BCD" w:rsidRPr="002D43DE" w:rsidRDefault="00185B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185BCD" w:rsidRPr="00185BCD" w:rsidRDefault="00185BC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Правила функционисања буџета Европске Уније</w:t>
            </w:r>
          </w:p>
        </w:tc>
      </w:tr>
      <w:tr w:rsidR="00185BCD" w:rsidRPr="002D43DE" w:rsidTr="006264CC">
        <w:trPr>
          <w:trHeight w:val="238"/>
        </w:trPr>
        <w:tc>
          <w:tcPr>
            <w:tcW w:w="1045" w:type="dxa"/>
          </w:tcPr>
          <w:p w:rsidR="00185BCD" w:rsidRPr="002D43DE" w:rsidRDefault="00185BCD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185BCD" w:rsidRPr="00185BCD" w:rsidRDefault="00185BC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Усклађивање пореза Европске Уније</w:t>
            </w:r>
          </w:p>
        </w:tc>
      </w:tr>
      <w:tr w:rsidR="00185BCD" w:rsidRPr="002D43DE" w:rsidTr="0019398C">
        <w:tc>
          <w:tcPr>
            <w:tcW w:w="9288" w:type="dxa"/>
            <w:gridSpan w:val="8"/>
          </w:tcPr>
          <w:p w:rsidR="00185BCD" w:rsidRDefault="00185BCD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2C2A78" w:rsidRDefault="002C2A78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2C2A78" w:rsidRDefault="002C2A78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За полагање колоквијума:</w:t>
            </w:r>
          </w:p>
          <w:p w:rsidR="00185BCD" w:rsidRPr="002C2A78" w:rsidRDefault="00581AD2" w:rsidP="002C2A7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r-Cyrl-RS"/>
              </w:rPr>
            </w:pPr>
            <w:r w:rsidRPr="002C2A78">
              <w:rPr>
                <w:sz w:val="24"/>
                <w:szCs w:val="24"/>
                <w:lang w:val="sr-Cyrl-RS"/>
              </w:rPr>
              <w:t>Раичевић, Радичић „Јавне финансије-теорија и пракса“, Економски факултет у Суботици, (сва издања)</w:t>
            </w:r>
            <w:r w:rsidRPr="002C2A78">
              <w:rPr>
                <w:sz w:val="24"/>
                <w:szCs w:val="24"/>
              </w:rPr>
              <w:t>.</w:t>
            </w:r>
          </w:p>
          <w:p w:rsidR="002C2A78" w:rsidRPr="002C2A78" w:rsidRDefault="002C2A78" w:rsidP="00E775EE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2C2A78">
              <w:rPr>
                <w:b/>
                <w:sz w:val="24"/>
                <w:szCs w:val="24"/>
                <w:lang w:val="sr-Cyrl-RS"/>
              </w:rPr>
              <w:t>За полагање испита:</w:t>
            </w:r>
          </w:p>
          <w:p w:rsidR="002C2A78" w:rsidRPr="002C2A78" w:rsidRDefault="002C2A78" w:rsidP="002C2A78">
            <w:pPr>
              <w:pStyle w:val="Default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proofErr w:type="spellStart"/>
            <w:r w:rsidRPr="002C2A78">
              <w:t>Cerovac</w:t>
            </w:r>
            <w:proofErr w:type="spellEnd"/>
            <w:r w:rsidRPr="002C2A78">
              <w:t xml:space="preserve"> M., </w:t>
            </w:r>
            <w:proofErr w:type="spellStart"/>
            <w:r w:rsidRPr="002C2A78">
              <w:t>Faulend</w:t>
            </w:r>
            <w:proofErr w:type="spellEnd"/>
            <w:r w:rsidRPr="002C2A78">
              <w:t xml:space="preserve"> M., Minas </w:t>
            </w:r>
            <w:proofErr w:type="spellStart"/>
            <w:r w:rsidRPr="002C2A78">
              <w:t>Hodak</w:t>
            </w:r>
            <w:proofErr w:type="spellEnd"/>
            <w:r w:rsidRPr="002C2A78">
              <w:t xml:space="preserve"> </w:t>
            </w:r>
            <w:proofErr w:type="spellStart"/>
            <w:r w:rsidRPr="002C2A78">
              <w:t>Lj</w:t>
            </w:r>
            <w:proofErr w:type="spellEnd"/>
            <w:r w:rsidRPr="002C2A78">
              <w:t xml:space="preserve">., </w:t>
            </w:r>
            <w:proofErr w:type="spellStart"/>
            <w:r w:rsidRPr="002C2A78">
              <w:t>Maji</w:t>
            </w:r>
            <w:proofErr w:type="spellEnd"/>
            <w:r w:rsidRPr="002C2A78">
              <w:rPr>
                <w:lang w:val="sr-Latn-RS"/>
              </w:rPr>
              <w:t>ć</w:t>
            </w:r>
            <w:r w:rsidRPr="002C2A78">
              <w:t xml:space="preserve"> N., </w:t>
            </w:r>
            <w:proofErr w:type="spellStart"/>
            <w:r w:rsidRPr="002C2A78">
              <w:t>Mataija</w:t>
            </w:r>
            <w:proofErr w:type="spellEnd"/>
            <w:r w:rsidRPr="002C2A78">
              <w:t xml:space="preserve"> M., </w:t>
            </w:r>
            <w:proofErr w:type="spellStart"/>
            <w:r w:rsidRPr="002C2A78">
              <w:t>Mijatovi</w:t>
            </w:r>
            <w:proofErr w:type="spellEnd"/>
            <w:r w:rsidRPr="002C2A78">
              <w:rPr>
                <w:lang w:val="sr-Latn-RS"/>
              </w:rPr>
              <w:t>ć, Ondelj I., Sokol T., Šimac S., Škreb M., Šošić V., Vid</w:t>
            </w:r>
            <w:r>
              <w:rPr>
                <w:lang w:val="sr-Latn-RS"/>
              </w:rPr>
              <w:t>ović B., Mikuš Žigman N., 2010.</w:t>
            </w:r>
            <w:r w:rsidRPr="002C2A78">
              <w:rPr>
                <w:lang w:val="sr-Latn-RS"/>
              </w:rPr>
              <w:t xml:space="preserve"> </w:t>
            </w:r>
            <w:proofErr w:type="spellStart"/>
            <w:r w:rsidRPr="002C2A78">
              <w:t>Evropska</w:t>
            </w:r>
            <w:proofErr w:type="spellEnd"/>
            <w:r w:rsidRPr="002C2A78">
              <w:rPr>
                <w:lang w:val="sr-Latn-RS"/>
              </w:rPr>
              <w:t xml:space="preserve"> Unija, Mate, Zagreb</w:t>
            </w:r>
            <w:r w:rsidRPr="002C2A78">
              <w:rPr>
                <w:lang w:val="sr-Cyrl-RS"/>
              </w:rPr>
              <w:t>, стр.393-415).</w:t>
            </w:r>
          </w:p>
          <w:p w:rsidR="002C2A78" w:rsidRPr="002C2A78" w:rsidRDefault="002C2A78" w:rsidP="002C2A78">
            <w:pPr>
              <w:pStyle w:val="Default"/>
              <w:numPr>
                <w:ilvl w:val="0"/>
                <w:numId w:val="5"/>
              </w:numPr>
              <w:jc w:val="both"/>
            </w:pPr>
            <w:r>
              <w:t xml:space="preserve">Baldwin R., </w:t>
            </w:r>
            <w:proofErr w:type="spellStart"/>
            <w:r>
              <w:t>Wyplosz</w:t>
            </w:r>
            <w:proofErr w:type="spellEnd"/>
            <w:r>
              <w:t xml:space="preserve"> Ch., 2010.</w:t>
            </w:r>
            <w:r w:rsidRPr="002C2A78">
              <w:t xml:space="preserve"> </w:t>
            </w:r>
            <w:proofErr w:type="spellStart"/>
            <w:r w:rsidRPr="002C2A78">
              <w:t>Ekonomija</w:t>
            </w:r>
            <w:proofErr w:type="spellEnd"/>
            <w:r w:rsidRPr="002C2A78">
              <w:t xml:space="preserve"> </w:t>
            </w:r>
            <w:proofErr w:type="spellStart"/>
            <w:r w:rsidRPr="002C2A78">
              <w:t>evropskih</w:t>
            </w:r>
            <w:proofErr w:type="spellEnd"/>
            <w:r w:rsidRPr="002C2A78">
              <w:t xml:space="preserve"> </w:t>
            </w:r>
            <w:proofErr w:type="spellStart"/>
            <w:r w:rsidRPr="002C2A78">
              <w:t>integracija</w:t>
            </w:r>
            <w:proofErr w:type="spellEnd"/>
            <w:r w:rsidRPr="002C2A78">
              <w:t>, Data status, Beograd, str.519-547.</w:t>
            </w:r>
          </w:p>
          <w:p w:rsidR="00581AD2" w:rsidRPr="00581AD2" w:rsidRDefault="00581AD2" w:rsidP="00E775EE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</w:p>
          <w:p w:rsidR="00185BCD" w:rsidRPr="002D43DE" w:rsidRDefault="00185BCD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185BCD" w:rsidRPr="002D43DE" w:rsidTr="006264CC">
        <w:tc>
          <w:tcPr>
            <w:tcW w:w="3107" w:type="dxa"/>
            <w:gridSpan w:val="3"/>
          </w:tcPr>
          <w:p w:rsidR="00185BCD" w:rsidRPr="002D43DE" w:rsidRDefault="00185BCD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  <w:r w:rsidR="00D52570">
              <w:rPr>
                <w:b/>
                <w:sz w:val="24"/>
                <w:szCs w:val="24"/>
                <w:lang w:val="sr-Cyrl-CS"/>
              </w:rPr>
              <w:t xml:space="preserve">                 </w:t>
            </w:r>
          </w:p>
        </w:tc>
        <w:tc>
          <w:tcPr>
            <w:tcW w:w="3016" w:type="dxa"/>
            <w:gridSpan w:val="2"/>
          </w:tcPr>
          <w:p w:rsidR="00185BCD" w:rsidRPr="002D43DE" w:rsidRDefault="00185BCD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D52570">
              <w:rPr>
                <w:b/>
                <w:sz w:val="24"/>
                <w:szCs w:val="24"/>
                <w:lang w:val="sr-Cyrl-CS"/>
              </w:rPr>
              <w:t xml:space="preserve">     45</w:t>
            </w:r>
          </w:p>
        </w:tc>
        <w:tc>
          <w:tcPr>
            <w:tcW w:w="3165" w:type="dxa"/>
            <w:gridSpan w:val="3"/>
          </w:tcPr>
          <w:p w:rsidR="00185BCD" w:rsidRPr="002D43DE" w:rsidRDefault="00185BCD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>Практична настава:</w:t>
            </w:r>
            <w:r w:rsidR="00D52570">
              <w:rPr>
                <w:b/>
                <w:sz w:val="24"/>
                <w:szCs w:val="24"/>
                <w:lang w:val="ru-RU"/>
              </w:rPr>
              <w:t xml:space="preserve">     </w:t>
            </w:r>
            <w:r w:rsidRPr="002D43DE">
              <w:rPr>
                <w:b/>
                <w:sz w:val="24"/>
                <w:szCs w:val="24"/>
                <w:lang w:val="ru-RU"/>
              </w:rPr>
              <w:t xml:space="preserve"> </w:t>
            </w:r>
            <w:r w:rsidR="00D52570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185BCD" w:rsidRPr="002D43DE" w:rsidTr="0019398C">
        <w:tc>
          <w:tcPr>
            <w:tcW w:w="9288" w:type="dxa"/>
            <w:gridSpan w:val="8"/>
          </w:tcPr>
          <w:p w:rsidR="00185BCD" w:rsidRPr="002D43DE" w:rsidRDefault="00185BCD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185BCD" w:rsidRPr="002D43DE" w:rsidTr="006264CC">
        <w:tc>
          <w:tcPr>
            <w:tcW w:w="4675" w:type="dxa"/>
            <w:gridSpan w:val="4"/>
          </w:tcPr>
          <w:p w:rsidR="00185BCD" w:rsidRPr="002D43DE" w:rsidRDefault="00185BCD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185BCD" w:rsidRPr="002D43DE" w:rsidRDefault="00D5257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24" w:type="dxa"/>
            <w:shd w:val="clear" w:color="auto" w:fill="auto"/>
          </w:tcPr>
          <w:p w:rsidR="00185BCD" w:rsidRPr="002D43DE" w:rsidRDefault="00185BCD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85BCD" w:rsidRPr="002D43DE" w:rsidRDefault="00D5257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185BCD" w:rsidRPr="002D43DE" w:rsidTr="006264CC">
        <w:tc>
          <w:tcPr>
            <w:tcW w:w="4675" w:type="dxa"/>
            <w:gridSpan w:val="4"/>
          </w:tcPr>
          <w:p w:rsidR="00185BCD" w:rsidRPr="002D43DE" w:rsidRDefault="00185BCD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185BCD" w:rsidRPr="002D43DE" w:rsidRDefault="00D5257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185BCD" w:rsidRPr="002D43DE" w:rsidRDefault="00185BCD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185BCD" w:rsidRPr="002D43DE" w:rsidRDefault="00D52570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185BCD" w:rsidRPr="002D43DE" w:rsidTr="006264CC">
        <w:tc>
          <w:tcPr>
            <w:tcW w:w="4675" w:type="dxa"/>
            <w:gridSpan w:val="4"/>
          </w:tcPr>
          <w:p w:rsidR="00185BCD" w:rsidRPr="002D43DE" w:rsidRDefault="00185BCD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185BCD" w:rsidRPr="002D43DE" w:rsidRDefault="00D5257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:rsidR="00185BCD" w:rsidRPr="002D43DE" w:rsidRDefault="00185BCD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185BCD" w:rsidRPr="002D43DE" w:rsidRDefault="00185BCD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185BCD" w:rsidRPr="002D43DE" w:rsidTr="006264CC">
        <w:tc>
          <w:tcPr>
            <w:tcW w:w="4675" w:type="dxa"/>
            <w:gridSpan w:val="4"/>
          </w:tcPr>
          <w:p w:rsidR="00185BCD" w:rsidRPr="002D43DE" w:rsidRDefault="00185BCD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185BCD" w:rsidRPr="002D43DE" w:rsidRDefault="00D52570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185BCD" w:rsidRPr="002D43DE" w:rsidRDefault="00185BCD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185BCD" w:rsidRPr="002D43DE" w:rsidRDefault="00185BCD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185BCD" w:rsidRPr="002D43DE" w:rsidTr="006264CC">
        <w:tc>
          <w:tcPr>
            <w:tcW w:w="4675" w:type="dxa"/>
            <w:gridSpan w:val="4"/>
          </w:tcPr>
          <w:p w:rsidR="00185BCD" w:rsidRPr="002D43DE" w:rsidRDefault="00185BCD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185BCD" w:rsidRPr="002D43DE" w:rsidRDefault="00D5257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185BCD" w:rsidRPr="002D43DE" w:rsidRDefault="00185BCD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185BCD" w:rsidRPr="002D43DE" w:rsidRDefault="00185BCD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264CC" w:rsidRDefault="006264CC" w:rsidP="006264CC">
      <w:r>
        <w:t>XIV- 05.06.  Poreska administracija i poreska politika, potpisi</w:t>
      </w:r>
    </w:p>
    <w:p w:rsidR="006B1437" w:rsidRDefault="003D3329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958"/>
    <w:multiLevelType w:val="hybridMultilevel"/>
    <w:tmpl w:val="52F8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91993"/>
    <w:multiLevelType w:val="hybridMultilevel"/>
    <w:tmpl w:val="DD2E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91527"/>
    <w:multiLevelType w:val="hybridMultilevel"/>
    <w:tmpl w:val="76BC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D3BAB"/>
    <w:multiLevelType w:val="hybridMultilevel"/>
    <w:tmpl w:val="B29C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85BCD"/>
    <w:rsid w:val="0019398C"/>
    <w:rsid w:val="002C2A78"/>
    <w:rsid w:val="002D3C48"/>
    <w:rsid w:val="002D43DE"/>
    <w:rsid w:val="00370A06"/>
    <w:rsid w:val="003B77AA"/>
    <w:rsid w:val="003D3329"/>
    <w:rsid w:val="004358CB"/>
    <w:rsid w:val="00436748"/>
    <w:rsid w:val="004B7688"/>
    <w:rsid w:val="00581AD2"/>
    <w:rsid w:val="006264CC"/>
    <w:rsid w:val="008D47D3"/>
    <w:rsid w:val="008F015E"/>
    <w:rsid w:val="00B22E20"/>
    <w:rsid w:val="00C50B31"/>
    <w:rsid w:val="00CE5DCB"/>
    <w:rsid w:val="00D23464"/>
    <w:rsid w:val="00D52570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2C2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2C2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Vuković</cp:lastModifiedBy>
  <cp:revision>2</cp:revision>
  <dcterms:created xsi:type="dcterms:W3CDTF">2018-10-28T15:19:00Z</dcterms:created>
  <dcterms:modified xsi:type="dcterms:W3CDTF">2018-10-28T15:19:00Z</dcterms:modified>
</cp:coreProperties>
</file>