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6D" w:rsidRPr="004376E2" w:rsidRDefault="004376E2" w:rsidP="004376E2">
      <w:pPr>
        <w:spacing w:line="240" w:lineRule="auto"/>
        <w:jc w:val="center"/>
        <w:rPr>
          <w:rFonts w:ascii="Times New Roman" w:hAnsi="Times New Roman" w:cs="Times New Roman"/>
          <w:b/>
          <w:lang w:val="sr-Latn-CS"/>
        </w:rPr>
      </w:pPr>
      <w:r w:rsidRPr="004376E2">
        <w:rPr>
          <w:rFonts w:ascii="Times New Roman" w:hAnsi="Times New Roman" w:cs="Times New Roman"/>
          <w:b/>
          <w:lang w:val="sr-Latn-CS"/>
        </w:rPr>
        <w:t xml:space="preserve">POZAJMLJENI </w:t>
      </w:r>
      <w:r w:rsidR="007B576D" w:rsidRPr="004376E2">
        <w:rPr>
          <w:rFonts w:ascii="Times New Roman" w:hAnsi="Times New Roman" w:cs="Times New Roman"/>
          <w:b/>
          <w:lang w:val="sr-Latn-CS"/>
        </w:rPr>
        <w:t>IZVORI FINANSIRANJA</w:t>
      </w:r>
    </w:p>
    <w:p w:rsidR="004376E2" w:rsidRPr="004376E2" w:rsidRDefault="004376E2" w:rsidP="004376E2">
      <w:pPr>
        <w:spacing w:after="0" w:line="240" w:lineRule="auto"/>
        <w:jc w:val="both"/>
        <w:rPr>
          <w:rFonts w:ascii="Times New Roman" w:hAnsi="Times New Roman" w:cs="Times New Roman"/>
          <w:b/>
          <w:u w:val="single"/>
          <w:lang w:val="sr-Latn-CS"/>
        </w:rPr>
      </w:pPr>
      <w:r w:rsidRPr="004376E2">
        <w:rPr>
          <w:rFonts w:ascii="Times New Roman" w:hAnsi="Times New Roman" w:cs="Times New Roman"/>
          <w:b/>
          <w:u w:val="single"/>
          <w:lang w:val="sr-Latn-CS"/>
        </w:rPr>
        <w:t>Kreditne faze:</w:t>
      </w:r>
    </w:p>
    <w:p w:rsidR="004376E2" w:rsidRPr="004376E2" w:rsidRDefault="004376E2" w:rsidP="004376E2">
      <w:pPr>
        <w:spacing w:after="0" w:line="240" w:lineRule="auto"/>
        <w:jc w:val="both"/>
        <w:rPr>
          <w:rFonts w:ascii="Times New Roman" w:hAnsi="Times New Roman" w:cs="Times New Roman"/>
          <w:lang w:val="sr-Latn-CS"/>
        </w:rPr>
      </w:pPr>
      <w:r w:rsidRPr="004376E2">
        <w:rPr>
          <w:rFonts w:ascii="Times New Roman" w:hAnsi="Times New Roman" w:cs="Times New Roman"/>
          <w:b/>
          <w:lang w:val="sr-Latn-CS"/>
        </w:rPr>
        <w:t>1) Moratorijum</w:t>
      </w:r>
      <w:r w:rsidRPr="004376E2">
        <w:rPr>
          <w:rFonts w:ascii="Times New Roman" w:hAnsi="Times New Roman" w:cs="Times New Roman"/>
          <w:lang w:val="sr-Latn-CS"/>
        </w:rPr>
        <w:t xml:space="preserve"> – vremenski period u kome nije aktivirana obaveza plaćanja prema kreditoru, odnosno to je period kada se kamata obračunava i pridodaje osnovnom dugu. Odobrava se za značajnije investicije u osnovna sredstva i uglavnom važi do momenta aktiviranja investicije. Na kraju perioda moratorijuma glavnica je uvećana za iznos kamate. Završetak perioda moratorijuma nije period kada se plaća prvi anuitet, već je to period kada kredit prelazi iz faze moratorijuma u grejs period, odnosno period otplate (ukoliko nema grejs perioda).</w:t>
      </w:r>
    </w:p>
    <w:p w:rsidR="004376E2" w:rsidRPr="004376E2" w:rsidRDefault="004376E2" w:rsidP="004376E2">
      <w:pPr>
        <w:spacing w:after="0" w:line="240" w:lineRule="auto"/>
        <w:jc w:val="both"/>
        <w:rPr>
          <w:rFonts w:ascii="Times New Roman" w:hAnsi="Times New Roman" w:cs="Times New Roman"/>
          <w:lang w:val="sr-Latn-CS"/>
        </w:rPr>
      </w:pPr>
      <w:r w:rsidRPr="004376E2">
        <w:rPr>
          <w:rFonts w:ascii="Times New Roman" w:hAnsi="Times New Roman" w:cs="Times New Roman"/>
          <w:b/>
          <w:lang w:val="sr-Latn-CS"/>
        </w:rPr>
        <w:t>2) Grejs period</w:t>
      </w:r>
      <w:r w:rsidRPr="004376E2">
        <w:rPr>
          <w:rFonts w:ascii="Times New Roman" w:hAnsi="Times New Roman" w:cs="Times New Roman"/>
          <w:lang w:val="sr-Latn-CS"/>
        </w:rPr>
        <w:t xml:space="preserve"> – vreme u kome se ne otplaćuje glavnica kredita već se samo aktivira obeveza plaćanja kamate. Susrećemo ga kod kreditiranja osnovnih sredstava.</w:t>
      </w:r>
    </w:p>
    <w:p w:rsidR="004376E2" w:rsidRPr="004376E2" w:rsidRDefault="004376E2" w:rsidP="004376E2">
      <w:pPr>
        <w:spacing w:after="0" w:line="240" w:lineRule="auto"/>
        <w:jc w:val="both"/>
        <w:rPr>
          <w:rFonts w:ascii="Times New Roman" w:hAnsi="Times New Roman" w:cs="Times New Roman"/>
          <w:lang w:val="sr-Latn-CS"/>
        </w:rPr>
      </w:pPr>
      <w:r w:rsidRPr="004376E2">
        <w:rPr>
          <w:rFonts w:ascii="Times New Roman" w:hAnsi="Times New Roman" w:cs="Times New Roman"/>
          <w:b/>
          <w:lang w:val="sr-Latn-CS"/>
        </w:rPr>
        <w:t>3)</w:t>
      </w:r>
      <w:r w:rsidRPr="004376E2">
        <w:rPr>
          <w:rFonts w:ascii="Times New Roman" w:hAnsi="Times New Roman" w:cs="Times New Roman"/>
          <w:lang w:val="sr-Latn-CS"/>
        </w:rPr>
        <w:t xml:space="preserve"> </w:t>
      </w:r>
      <w:r w:rsidRPr="004376E2">
        <w:rPr>
          <w:rFonts w:ascii="Times New Roman" w:hAnsi="Times New Roman" w:cs="Times New Roman"/>
          <w:b/>
          <w:lang w:val="sr-Latn-CS"/>
        </w:rPr>
        <w:t>Period otplate</w:t>
      </w:r>
      <w:r w:rsidRPr="004376E2">
        <w:rPr>
          <w:rFonts w:ascii="Times New Roman" w:hAnsi="Times New Roman" w:cs="Times New Roman"/>
          <w:lang w:val="sr-Latn-CS"/>
        </w:rPr>
        <w:t xml:space="preserve"> –vremenski period u kome se aktivira obaveza vraćanja glavnice. Kod kredita za obrtna sredstva, moratorijum i grejs period su veoma retki, odnosno kredit će se po uplati sredstava odmah naći u fazi otplate.</w:t>
      </w:r>
    </w:p>
    <w:p w:rsidR="004376E2" w:rsidRPr="004376E2" w:rsidRDefault="004376E2" w:rsidP="004376E2">
      <w:pPr>
        <w:spacing w:after="0" w:line="240" w:lineRule="auto"/>
        <w:jc w:val="both"/>
        <w:rPr>
          <w:rFonts w:ascii="Times New Roman" w:hAnsi="Times New Roman" w:cs="Times New Roman"/>
          <w:lang w:val="sr-Latn-CS"/>
        </w:rPr>
      </w:pPr>
      <w:r w:rsidRPr="004376E2">
        <w:rPr>
          <w:rFonts w:ascii="Times New Roman" w:hAnsi="Times New Roman" w:cs="Times New Roman"/>
          <w:u w:val="single"/>
          <w:lang w:val="sr-Latn-CS"/>
        </w:rPr>
        <w:t>Osnovne obaveze prema banci su</w:t>
      </w:r>
      <w:r w:rsidRPr="004376E2">
        <w:rPr>
          <w:rFonts w:ascii="Times New Roman" w:hAnsi="Times New Roman" w:cs="Times New Roman"/>
          <w:lang w:val="sr-Latn-CS"/>
        </w:rPr>
        <w:t>:</w:t>
      </w:r>
    </w:p>
    <w:p w:rsidR="004376E2" w:rsidRPr="004376E2" w:rsidRDefault="004376E2" w:rsidP="004376E2">
      <w:pPr>
        <w:numPr>
          <w:ilvl w:val="0"/>
          <w:numId w:val="6"/>
        </w:numPr>
        <w:spacing w:after="0" w:line="240" w:lineRule="auto"/>
        <w:jc w:val="both"/>
        <w:rPr>
          <w:rFonts w:ascii="Times New Roman" w:hAnsi="Times New Roman" w:cs="Times New Roman"/>
          <w:lang w:val="sr-Latn-CS"/>
        </w:rPr>
      </w:pPr>
      <w:r w:rsidRPr="004376E2">
        <w:rPr>
          <w:rFonts w:ascii="Times New Roman" w:hAnsi="Times New Roman" w:cs="Times New Roman"/>
          <w:lang w:val="sr-Latn-CS"/>
        </w:rPr>
        <w:t>Plaćanje kamate,</w:t>
      </w:r>
    </w:p>
    <w:p w:rsidR="004376E2" w:rsidRPr="004376E2" w:rsidRDefault="004376E2" w:rsidP="004376E2">
      <w:pPr>
        <w:numPr>
          <w:ilvl w:val="0"/>
          <w:numId w:val="6"/>
        </w:numPr>
        <w:spacing w:after="0" w:line="240" w:lineRule="auto"/>
        <w:jc w:val="both"/>
        <w:rPr>
          <w:rFonts w:ascii="Times New Roman" w:hAnsi="Times New Roman" w:cs="Times New Roman"/>
          <w:lang w:val="sr-Latn-CS"/>
        </w:rPr>
      </w:pPr>
      <w:r w:rsidRPr="004376E2">
        <w:rPr>
          <w:rFonts w:ascii="Times New Roman" w:hAnsi="Times New Roman" w:cs="Times New Roman"/>
          <w:lang w:val="sr-Latn-CS"/>
        </w:rPr>
        <w:t>Vraćanje glavnice.</w:t>
      </w:r>
    </w:p>
    <w:p w:rsidR="004376E2" w:rsidRPr="004376E2" w:rsidRDefault="004376E2" w:rsidP="004376E2">
      <w:pPr>
        <w:spacing w:line="240" w:lineRule="auto"/>
        <w:jc w:val="both"/>
        <w:rPr>
          <w:rFonts w:ascii="Times New Roman" w:hAnsi="Times New Roman" w:cs="Times New Roman"/>
          <w:lang w:val="sr-Latn-CS"/>
        </w:rPr>
      </w:pPr>
      <w:r w:rsidRPr="004376E2">
        <w:rPr>
          <w:rFonts w:ascii="Times New Roman" w:hAnsi="Times New Roman" w:cs="Times New Roman"/>
          <w:b/>
          <w:lang w:val="sr-Latn-CS"/>
        </w:rPr>
        <w:t>Kamata</w:t>
      </w:r>
      <w:r w:rsidRPr="004376E2">
        <w:rPr>
          <w:rFonts w:ascii="Times New Roman" w:hAnsi="Times New Roman" w:cs="Times New Roman"/>
          <w:lang w:val="sr-Latn-CS"/>
        </w:rPr>
        <w:t xml:space="preserve"> se plaća na neotplaćeni deo duga i računa se kao proizvod ostatka glavnice duga na početku perioda sa kamatnom stopom za pripadajući period. Pripadajući period je vremenski period za koji se računa kamata.</w:t>
      </w:r>
    </w:p>
    <w:p w:rsidR="007B576D" w:rsidRPr="004376E2" w:rsidRDefault="007B576D" w:rsidP="004376E2">
      <w:pPr>
        <w:spacing w:after="0" w:line="240" w:lineRule="auto"/>
        <w:jc w:val="both"/>
        <w:rPr>
          <w:rFonts w:ascii="Times New Roman" w:hAnsi="Times New Roman" w:cs="Times New Roman"/>
          <w:lang w:val="sr-Latn-CS"/>
        </w:rPr>
      </w:pPr>
      <w:r w:rsidRPr="004376E2">
        <w:rPr>
          <w:rFonts w:ascii="Times New Roman" w:hAnsi="Times New Roman" w:cs="Times New Roman"/>
          <w:b/>
          <w:lang w:val="sr-Latn-CS"/>
        </w:rPr>
        <w:t>Kamatna stopa za pripadajući period</w:t>
      </w:r>
      <w:r w:rsidRPr="004376E2">
        <w:rPr>
          <w:rFonts w:ascii="Times New Roman" w:hAnsi="Times New Roman" w:cs="Times New Roman"/>
          <w:lang w:val="sr-Latn-CS"/>
        </w:rPr>
        <w:t xml:space="preserve"> se računa po sledećem obrascu:</w:t>
      </w:r>
    </w:p>
    <w:p w:rsidR="007B576D" w:rsidRPr="007D2F48" w:rsidRDefault="007D2F48" w:rsidP="004376E2">
      <w:pPr>
        <w:spacing w:after="0" w:line="240" w:lineRule="auto"/>
        <w:jc w:val="both"/>
        <w:rPr>
          <w:rFonts w:ascii="Times New Roman" w:hAnsi="Times New Roman" w:cs="Times New Roman"/>
          <w:b/>
          <w:lang w:val="sr-Latn-CS"/>
        </w:rPr>
      </w:pPr>
      <w:r w:rsidRPr="007D2F48">
        <w:rPr>
          <w:rFonts w:ascii="Times New Roman" w:hAnsi="Times New Roman" w:cs="Times New Roman"/>
          <w:b/>
          <w:position w:val="-10"/>
          <w:lang w:val="sr-Latn-CS"/>
        </w:rPr>
        <w:object w:dxaOrig="16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5pt;height:20.8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Equation.3" ShapeID="_x0000_i1025" DrawAspect="Content" ObjectID="_1608908609" r:id="rId6"/>
        </w:object>
      </w:r>
    </w:p>
    <w:p w:rsidR="007B576D" w:rsidRPr="004376E2" w:rsidRDefault="007B576D" w:rsidP="007B576D">
      <w:pPr>
        <w:spacing w:line="240" w:lineRule="auto"/>
        <w:jc w:val="both"/>
        <w:rPr>
          <w:rFonts w:ascii="Times New Roman" w:hAnsi="Times New Roman" w:cs="Times New Roman"/>
          <w:lang w:val="sr-Latn-CS"/>
        </w:rPr>
      </w:pPr>
      <w:r w:rsidRPr="004376E2">
        <w:rPr>
          <w:rFonts w:ascii="Times New Roman" w:hAnsi="Times New Roman" w:cs="Times New Roman"/>
          <w:lang w:val="sr-Latn-CS"/>
        </w:rPr>
        <w:t>i=kamatna stopa za pripadajući period,</w:t>
      </w:r>
      <w:r w:rsidR="004376E2" w:rsidRPr="004376E2">
        <w:rPr>
          <w:rFonts w:ascii="Times New Roman" w:hAnsi="Times New Roman" w:cs="Times New Roman"/>
          <w:lang w:val="sr-Latn-CS"/>
        </w:rPr>
        <w:t xml:space="preserve"> </w:t>
      </w:r>
      <w:r w:rsidRPr="004376E2">
        <w:rPr>
          <w:rFonts w:ascii="Times New Roman" w:hAnsi="Times New Roman" w:cs="Times New Roman"/>
          <w:lang w:val="sr-Latn-CS"/>
        </w:rPr>
        <w:t>I=godišnja kamatna stopa i</w:t>
      </w:r>
      <w:r w:rsidR="004376E2" w:rsidRPr="004376E2">
        <w:rPr>
          <w:rFonts w:ascii="Times New Roman" w:hAnsi="Times New Roman" w:cs="Times New Roman"/>
          <w:lang w:val="sr-Latn-CS"/>
        </w:rPr>
        <w:t xml:space="preserve"> </w:t>
      </w:r>
      <w:r w:rsidRPr="004376E2">
        <w:rPr>
          <w:rFonts w:ascii="Times New Roman" w:hAnsi="Times New Roman" w:cs="Times New Roman"/>
          <w:lang w:val="sr-Latn-CS"/>
        </w:rPr>
        <w:t>m=broj meseci za koji se kamata računa.</w:t>
      </w:r>
    </w:p>
    <w:p w:rsidR="007B576D" w:rsidRPr="004376E2" w:rsidRDefault="007B576D" w:rsidP="005D5D64">
      <w:pPr>
        <w:jc w:val="both"/>
        <w:rPr>
          <w:rFonts w:ascii="Times New Roman" w:hAnsi="Times New Roman" w:cs="Times New Roman"/>
          <w:lang w:val="sr-Latn-CS"/>
        </w:rPr>
      </w:pPr>
      <w:r w:rsidRPr="004376E2">
        <w:rPr>
          <w:rFonts w:ascii="Times New Roman" w:hAnsi="Times New Roman" w:cs="Times New Roman"/>
          <w:lang w:val="sr-Latn-CS"/>
        </w:rPr>
        <w:t xml:space="preserve">Pod pretpostavkom da je godišnja kamatna stopa 10%, a da je dinamika plaćanja šestomesečna, </w:t>
      </w:r>
      <w:r w:rsidR="007D2F48">
        <w:rPr>
          <w:rFonts w:ascii="Times New Roman" w:hAnsi="Times New Roman" w:cs="Times New Roman"/>
          <w:lang w:val="sr-Latn-CS"/>
        </w:rPr>
        <w:t>kamatna stopa za 6 meseci iznosi = (1+0,1)</w:t>
      </w:r>
      <w:r w:rsidR="007D2F48" w:rsidRPr="007D2F48">
        <w:rPr>
          <w:rFonts w:ascii="Times New Roman" w:hAnsi="Times New Roman" w:cs="Times New Roman"/>
          <w:vertAlign w:val="superscript"/>
          <w:lang w:val="sr-Latn-CS"/>
        </w:rPr>
        <w:t>6/12</w:t>
      </w:r>
      <w:r w:rsidR="007D2F48">
        <w:rPr>
          <w:rFonts w:ascii="Times New Roman" w:hAnsi="Times New Roman" w:cs="Times New Roman"/>
          <w:lang w:val="sr-Latn-CS"/>
        </w:rPr>
        <w:t xml:space="preserve"> - 1=4,88%, a preko </w:t>
      </w:r>
      <w:r w:rsidRPr="004376E2">
        <w:rPr>
          <w:rFonts w:ascii="Times New Roman" w:hAnsi="Times New Roman" w:cs="Times New Roman"/>
          <w:lang w:val="sr-Latn-CS"/>
        </w:rPr>
        <w:t>Excel-a</w:t>
      </w:r>
      <w:r w:rsidR="007D2F48" w:rsidRPr="007D2F48">
        <w:rPr>
          <w:rFonts w:ascii="Times New Roman" w:hAnsi="Times New Roman" w:cs="Times New Roman"/>
          <w:lang w:val="sr-Latn-CS"/>
        </w:rPr>
        <w:t xml:space="preserve"> </w:t>
      </w:r>
      <w:r w:rsidR="007D2F48">
        <w:rPr>
          <w:rFonts w:ascii="Times New Roman" w:hAnsi="Times New Roman" w:cs="Times New Roman"/>
          <w:lang w:val="sr-Latn-CS"/>
        </w:rPr>
        <w:t>u ćeliji</w:t>
      </w:r>
      <w:r w:rsidRPr="004376E2">
        <w:rPr>
          <w:rFonts w:ascii="Times New Roman" w:hAnsi="Times New Roman" w:cs="Times New Roman"/>
          <w:lang w:val="sr-Latn-CS"/>
        </w:rPr>
        <w:t xml:space="preserve"> treba napisati</w:t>
      </w:r>
      <w:r w:rsidR="004376E2" w:rsidRPr="004376E2">
        <w:rPr>
          <w:rFonts w:ascii="Times New Roman" w:hAnsi="Times New Roman" w:cs="Times New Roman"/>
          <w:lang w:val="sr-Latn-CS"/>
        </w:rPr>
        <w:t xml:space="preserve"> </w:t>
      </w:r>
      <w:r w:rsidRPr="004376E2">
        <w:rPr>
          <w:rFonts w:ascii="Times New Roman" w:hAnsi="Times New Roman" w:cs="Times New Roman"/>
          <w:lang w:val="sr-Latn-CS"/>
        </w:rPr>
        <w:t>=power (1.1,6/12)-1</w:t>
      </w:r>
      <w:r w:rsidR="005D5D64">
        <w:rPr>
          <w:rFonts w:ascii="Times New Roman" w:hAnsi="Times New Roman" w:cs="Times New Roman"/>
          <w:lang w:val="sr-Latn-BA"/>
        </w:rPr>
        <w:t>=</w:t>
      </w:r>
      <w:r w:rsidRPr="004376E2">
        <w:rPr>
          <w:rFonts w:ascii="Times New Roman" w:hAnsi="Times New Roman" w:cs="Times New Roman"/>
          <w:lang w:val="sr-Latn-CS"/>
        </w:rPr>
        <w:t>4.88%</w:t>
      </w:r>
      <w:r w:rsidR="005D5D64">
        <w:rPr>
          <w:rFonts w:ascii="Times New Roman" w:hAnsi="Times New Roman" w:cs="Times New Roman"/>
          <w:lang w:val="sr-Latn-CS"/>
        </w:rPr>
        <w:t xml:space="preserve"> (</w:t>
      </w:r>
      <w:r w:rsidR="005D5D64" w:rsidRPr="005D5D64">
        <w:rPr>
          <w:rFonts w:ascii="Times New Roman" w:eastAsia="Times New Roman" w:hAnsi="Times New Roman" w:cs="Times New Roman"/>
          <w:color w:val="000000"/>
        </w:rPr>
        <w:t>0.048808848</w:t>
      </w:r>
      <w:r w:rsidR="005D5D64">
        <w:rPr>
          <w:rFonts w:ascii="Times New Roman" w:eastAsia="Times New Roman" w:hAnsi="Times New Roman" w:cs="Times New Roman"/>
          <w:color w:val="000000"/>
        </w:rPr>
        <w:t>)</w:t>
      </w:r>
    </w:p>
    <w:p w:rsidR="007B576D" w:rsidRPr="004376E2" w:rsidRDefault="007B576D" w:rsidP="007B576D">
      <w:pPr>
        <w:spacing w:after="0" w:line="240" w:lineRule="auto"/>
        <w:jc w:val="both"/>
        <w:rPr>
          <w:rFonts w:ascii="Times New Roman" w:hAnsi="Times New Roman" w:cs="Times New Roman"/>
          <w:lang w:val="sr-Latn-CS"/>
        </w:rPr>
      </w:pPr>
      <w:r w:rsidRPr="004376E2">
        <w:rPr>
          <w:rFonts w:ascii="Times New Roman" w:hAnsi="Times New Roman" w:cs="Times New Roman"/>
          <w:lang w:val="sr-Latn-CS"/>
        </w:rPr>
        <w:t xml:space="preserve">Vraćanje glavnice kredita se naziva </w:t>
      </w:r>
      <w:r w:rsidRPr="007D2F48">
        <w:rPr>
          <w:rFonts w:ascii="Times New Roman" w:hAnsi="Times New Roman" w:cs="Times New Roman"/>
          <w:b/>
          <w:lang w:val="sr-Latn-CS"/>
        </w:rPr>
        <w:t>otplata</w:t>
      </w:r>
      <w:r w:rsidRPr="004376E2">
        <w:rPr>
          <w:rFonts w:ascii="Times New Roman" w:hAnsi="Times New Roman" w:cs="Times New Roman"/>
          <w:lang w:val="sr-Latn-CS"/>
        </w:rPr>
        <w:t>. Postoje dva osnovna metoda otplate kredita i to:</w:t>
      </w:r>
    </w:p>
    <w:p w:rsidR="007B576D" w:rsidRPr="004376E2" w:rsidRDefault="007B576D" w:rsidP="007B576D">
      <w:pPr>
        <w:numPr>
          <w:ilvl w:val="0"/>
          <w:numId w:val="7"/>
        </w:numPr>
        <w:spacing w:after="0" w:line="240" w:lineRule="auto"/>
        <w:ind w:firstLine="0"/>
        <w:jc w:val="both"/>
        <w:rPr>
          <w:rFonts w:ascii="Times New Roman" w:hAnsi="Times New Roman" w:cs="Times New Roman"/>
          <w:lang w:val="sr-Latn-CS"/>
        </w:rPr>
      </w:pPr>
      <w:r w:rsidRPr="004376E2">
        <w:rPr>
          <w:rFonts w:ascii="Times New Roman" w:hAnsi="Times New Roman" w:cs="Times New Roman"/>
          <w:lang w:val="sr-Latn-CS"/>
        </w:rPr>
        <w:t xml:space="preserve">Metod jednakih otplata i </w:t>
      </w:r>
    </w:p>
    <w:p w:rsidR="007B576D" w:rsidRDefault="007B576D" w:rsidP="007B576D">
      <w:pPr>
        <w:numPr>
          <w:ilvl w:val="0"/>
          <w:numId w:val="7"/>
        </w:numPr>
        <w:spacing w:after="0" w:line="240" w:lineRule="auto"/>
        <w:ind w:firstLine="0"/>
        <w:jc w:val="both"/>
        <w:rPr>
          <w:rFonts w:ascii="Times New Roman" w:hAnsi="Times New Roman" w:cs="Times New Roman"/>
          <w:lang w:val="sr-Latn-CS"/>
        </w:rPr>
      </w:pPr>
      <w:r w:rsidRPr="004376E2">
        <w:rPr>
          <w:rFonts w:ascii="Times New Roman" w:hAnsi="Times New Roman" w:cs="Times New Roman"/>
          <w:lang w:val="sr-Latn-CS"/>
        </w:rPr>
        <w:t>Metod jednakih anuiteta.</w:t>
      </w:r>
    </w:p>
    <w:p w:rsidR="007D2F48" w:rsidRPr="007D2F48" w:rsidRDefault="007D2F48" w:rsidP="007D2F48">
      <w:pPr>
        <w:spacing w:after="0" w:line="240" w:lineRule="auto"/>
        <w:ind w:left="360"/>
        <w:jc w:val="both"/>
        <w:rPr>
          <w:rFonts w:ascii="Times New Roman" w:hAnsi="Times New Roman" w:cs="Times New Roman"/>
          <w:lang w:val="sr-Latn-CS"/>
        </w:rPr>
      </w:pPr>
    </w:p>
    <w:p w:rsidR="007B576D" w:rsidRPr="004376E2" w:rsidRDefault="007B576D" w:rsidP="007D2F48">
      <w:pPr>
        <w:spacing w:after="0" w:line="240" w:lineRule="auto"/>
        <w:jc w:val="both"/>
        <w:rPr>
          <w:rFonts w:ascii="Times New Roman" w:hAnsi="Times New Roman" w:cs="Times New Roman"/>
          <w:b/>
          <w:lang w:val="sr-Latn-CS"/>
        </w:rPr>
      </w:pPr>
      <w:r w:rsidRPr="004376E2">
        <w:rPr>
          <w:rFonts w:ascii="Times New Roman" w:hAnsi="Times New Roman" w:cs="Times New Roman"/>
          <w:b/>
          <w:lang w:val="sr-Latn-CS"/>
        </w:rPr>
        <w:t>METOD JEDNAKIH OTPLATA</w:t>
      </w:r>
      <w:r w:rsidR="007D2F48">
        <w:rPr>
          <w:rFonts w:ascii="Times New Roman" w:hAnsi="Times New Roman" w:cs="Times New Roman"/>
          <w:b/>
          <w:lang w:val="sr-Latn-CS"/>
        </w:rPr>
        <w:t xml:space="preserve"> </w:t>
      </w:r>
      <w:r w:rsidRPr="004376E2">
        <w:rPr>
          <w:rFonts w:ascii="Times New Roman" w:hAnsi="Times New Roman" w:cs="Times New Roman"/>
          <w:lang w:val="sr-Latn-CS"/>
        </w:rPr>
        <w:t>podrazumeva da se u svakom anuitetu vraća isti iznos glavnice. Izračunavanje se vrši tako da se glavnica duga podeli sa brojem perioda u kojima se vrši otplata kredita,</w:t>
      </w:r>
    </w:p>
    <w:p w:rsidR="007B576D" w:rsidRPr="007D2F48" w:rsidRDefault="007B576D" w:rsidP="007D2F48">
      <w:pPr>
        <w:spacing w:after="0" w:line="240" w:lineRule="auto"/>
        <w:jc w:val="both"/>
        <w:rPr>
          <w:rFonts w:ascii="Times New Roman" w:hAnsi="Times New Roman" w:cs="Times New Roman"/>
          <w:b/>
          <w:lang w:val="sr-Latn-CS"/>
        </w:rPr>
      </w:pPr>
      <w:r w:rsidRPr="007D2F48">
        <w:rPr>
          <w:rFonts w:ascii="Times New Roman" w:hAnsi="Times New Roman" w:cs="Times New Roman"/>
          <w:b/>
          <w:lang w:val="sr-Latn-CS"/>
        </w:rPr>
        <w:t>O=G/n</w:t>
      </w:r>
    </w:p>
    <w:p w:rsidR="007B576D" w:rsidRPr="004376E2" w:rsidRDefault="007B576D" w:rsidP="007D2F48">
      <w:pPr>
        <w:spacing w:after="0" w:line="240" w:lineRule="auto"/>
        <w:jc w:val="both"/>
        <w:rPr>
          <w:rFonts w:ascii="Times New Roman" w:hAnsi="Times New Roman" w:cs="Times New Roman"/>
          <w:lang w:val="sr-Latn-CS"/>
        </w:rPr>
      </w:pPr>
      <w:r w:rsidRPr="004376E2">
        <w:rPr>
          <w:rFonts w:ascii="Times New Roman" w:hAnsi="Times New Roman" w:cs="Times New Roman"/>
          <w:lang w:val="sr-Latn-CS"/>
        </w:rPr>
        <w:t>O-otplata u jednom periodu,</w:t>
      </w:r>
      <w:r w:rsidR="007D2F48">
        <w:rPr>
          <w:rFonts w:ascii="Times New Roman" w:hAnsi="Times New Roman" w:cs="Times New Roman"/>
          <w:lang w:val="sr-Latn-CS"/>
        </w:rPr>
        <w:t xml:space="preserve"> </w:t>
      </w:r>
      <w:r w:rsidRPr="004376E2">
        <w:rPr>
          <w:rFonts w:ascii="Times New Roman" w:hAnsi="Times New Roman" w:cs="Times New Roman"/>
          <w:lang w:val="sr-Latn-CS"/>
        </w:rPr>
        <w:t>G-glavnica i</w:t>
      </w:r>
      <w:r w:rsidR="007D2F48">
        <w:rPr>
          <w:rFonts w:ascii="Times New Roman" w:hAnsi="Times New Roman" w:cs="Times New Roman"/>
          <w:lang w:val="sr-Latn-CS"/>
        </w:rPr>
        <w:t xml:space="preserve"> </w:t>
      </w:r>
      <w:r w:rsidRPr="004376E2">
        <w:rPr>
          <w:rFonts w:ascii="Times New Roman" w:hAnsi="Times New Roman" w:cs="Times New Roman"/>
          <w:lang w:val="sr-Latn-CS"/>
        </w:rPr>
        <w:t>n-broj perioda u kojima se otplaćuje glavnica.</w:t>
      </w:r>
    </w:p>
    <w:p w:rsidR="007D2F48" w:rsidRDefault="007D2F48" w:rsidP="007D2F48">
      <w:pPr>
        <w:spacing w:after="0" w:line="240" w:lineRule="auto"/>
        <w:jc w:val="both"/>
        <w:rPr>
          <w:rFonts w:ascii="Times New Roman" w:hAnsi="Times New Roman" w:cs="Times New Roman"/>
          <w:lang w:val="sr-Latn-CS"/>
        </w:rPr>
      </w:pPr>
    </w:p>
    <w:p w:rsidR="007B576D" w:rsidRPr="004376E2" w:rsidRDefault="007D2F48" w:rsidP="007D2F48">
      <w:pPr>
        <w:spacing w:after="0" w:line="240" w:lineRule="auto"/>
        <w:jc w:val="both"/>
        <w:rPr>
          <w:rFonts w:ascii="Times New Roman" w:hAnsi="Times New Roman" w:cs="Times New Roman"/>
          <w:lang w:val="sr-Latn-CS"/>
        </w:rPr>
      </w:pPr>
      <w:r>
        <w:rPr>
          <w:rFonts w:ascii="Times New Roman" w:hAnsi="Times New Roman" w:cs="Times New Roman"/>
          <w:lang w:val="sr-Latn-CS"/>
        </w:rPr>
        <w:t>K</w:t>
      </w:r>
      <w:r w:rsidR="007B576D" w:rsidRPr="004376E2">
        <w:rPr>
          <w:rFonts w:ascii="Times New Roman" w:hAnsi="Times New Roman" w:cs="Times New Roman"/>
          <w:lang w:val="sr-Latn-CS"/>
        </w:rPr>
        <w:t xml:space="preserve">amata </w:t>
      </w:r>
      <w:r>
        <w:rPr>
          <w:rFonts w:ascii="Times New Roman" w:hAnsi="Times New Roman" w:cs="Times New Roman"/>
          <w:lang w:val="sr-Latn-CS"/>
        </w:rPr>
        <w:t xml:space="preserve">se dobija </w:t>
      </w:r>
      <w:r w:rsidR="007B576D" w:rsidRPr="004376E2">
        <w:rPr>
          <w:rFonts w:ascii="Times New Roman" w:hAnsi="Times New Roman" w:cs="Times New Roman"/>
          <w:lang w:val="sr-Latn-CS"/>
        </w:rPr>
        <w:t>množenjem ostatka duga na kraju prethodnog perioda sa kamatnom stopom za pripadajući period.</w:t>
      </w:r>
    </w:p>
    <w:p w:rsidR="007D2F48" w:rsidRDefault="007D2F48" w:rsidP="007D2F48">
      <w:pPr>
        <w:spacing w:after="0" w:line="240" w:lineRule="auto"/>
        <w:jc w:val="both"/>
        <w:rPr>
          <w:rFonts w:ascii="Times New Roman" w:hAnsi="Times New Roman" w:cs="Times New Roman"/>
          <w:b/>
          <w:lang w:val="sr-Latn-CS"/>
        </w:rPr>
      </w:pPr>
    </w:p>
    <w:p w:rsidR="007B576D" w:rsidRDefault="007D2F48" w:rsidP="007D2F48">
      <w:pPr>
        <w:spacing w:after="0" w:line="240" w:lineRule="auto"/>
        <w:jc w:val="both"/>
        <w:rPr>
          <w:rFonts w:ascii="Times New Roman" w:hAnsi="Times New Roman" w:cs="Times New Roman"/>
          <w:lang w:val="sr-Latn-CS"/>
        </w:rPr>
      </w:pPr>
      <w:r w:rsidRPr="007D2F48">
        <w:rPr>
          <w:rFonts w:ascii="Times New Roman" w:hAnsi="Times New Roman" w:cs="Times New Roman"/>
          <w:b/>
          <w:lang w:val="sr-Latn-CS"/>
        </w:rPr>
        <w:t>A</w:t>
      </w:r>
      <w:r w:rsidR="007B576D" w:rsidRPr="007D2F48">
        <w:rPr>
          <w:rFonts w:ascii="Times New Roman" w:hAnsi="Times New Roman" w:cs="Times New Roman"/>
          <w:b/>
          <w:lang w:val="sr-Latn-CS"/>
        </w:rPr>
        <w:t>nuitet</w:t>
      </w:r>
      <w:r w:rsidR="007B576D" w:rsidRPr="004376E2">
        <w:rPr>
          <w:rFonts w:ascii="Times New Roman" w:hAnsi="Times New Roman" w:cs="Times New Roman"/>
          <w:lang w:val="sr-Latn-CS"/>
        </w:rPr>
        <w:t xml:space="preserve"> </w:t>
      </w:r>
      <w:r>
        <w:rPr>
          <w:rFonts w:ascii="Times New Roman" w:hAnsi="Times New Roman" w:cs="Times New Roman"/>
          <w:lang w:val="sr-Latn-CS"/>
        </w:rPr>
        <w:t xml:space="preserve">je </w:t>
      </w:r>
      <w:r w:rsidR="007B576D" w:rsidRPr="004376E2">
        <w:rPr>
          <w:rFonts w:ascii="Times New Roman" w:hAnsi="Times New Roman" w:cs="Times New Roman"/>
          <w:lang w:val="sr-Latn-CS"/>
        </w:rPr>
        <w:t>zbir otplate i kamate.</w:t>
      </w:r>
    </w:p>
    <w:p w:rsidR="007D2F48" w:rsidRPr="004376E2" w:rsidRDefault="007D2F48" w:rsidP="007D2F48">
      <w:pPr>
        <w:spacing w:after="0" w:line="240" w:lineRule="auto"/>
        <w:jc w:val="both"/>
        <w:rPr>
          <w:rFonts w:ascii="Times New Roman" w:hAnsi="Times New Roman" w:cs="Times New Roman"/>
          <w:lang w:val="sr-Latn-CS"/>
        </w:rPr>
      </w:pPr>
    </w:p>
    <w:p w:rsidR="007B576D" w:rsidRPr="004376E2" w:rsidRDefault="007B576D" w:rsidP="007D2F48">
      <w:pPr>
        <w:spacing w:after="0" w:line="240" w:lineRule="auto"/>
        <w:jc w:val="both"/>
        <w:rPr>
          <w:rFonts w:ascii="Times New Roman" w:hAnsi="Times New Roman" w:cs="Times New Roman"/>
          <w:lang w:val="sr-Latn-CS"/>
        </w:rPr>
      </w:pPr>
      <w:r w:rsidRPr="004376E2">
        <w:rPr>
          <w:rFonts w:ascii="Times New Roman" w:hAnsi="Times New Roman" w:cs="Times New Roman"/>
          <w:b/>
          <w:lang w:val="sr-Latn-CS"/>
        </w:rPr>
        <w:t xml:space="preserve">METOD JEDNAKIH ANUITETA - </w:t>
      </w:r>
      <w:r w:rsidRPr="004376E2">
        <w:rPr>
          <w:rFonts w:ascii="Times New Roman" w:hAnsi="Times New Roman" w:cs="Times New Roman"/>
          <w:lang w:val="sr-Latn-CS"/>
        </w:rPr>
        <w:t>u svakom periodu u kome se vraća glavnica (period otplate) anuiteti (otplata+kamata) su jednaki.</w:t>
      </w:r>
    </w:p>
    <w:p w:rsidR="007B576D" w:rsidRPr="004376E2" w:rsidRDefault="007A7E9C" w:rsidP="007B576D">
      <w:pPr>
        <w:spacing w:line="240" w:lineRule="auto"/>
        <w:jc w:val="both"/>
        <w:rPr>
          <w:rFonts w:ascii="Times New Roman" w:hAnsi="Times New Roman" w:cs="Times New Roman"/>
          <w:lang w:val="sr-Latn-CS"/>
        </w:rPr>
      </w:pPr>
      <w:r w:rsidRPr="007A7E9C">
        <w:rPr>
          <w:rFonts w:ascii="Times New Roman" w:hAnsi="Times New Roman" w:cs="Times New Roman"/>
          <w:position w:val="-28"/>
          <w:lang w:val="sr-Latn-CS"/>
        </w:rPr>
        <w:object w:dxaOrig="1740" w:dyaOrig="700">
          <v:shape id="_x0000_i1026" type="#_x0000_t75" style="width:87pt;height:35.15pt" o:ole="">
            <v:imagedata r:id="rId7" o:title=""/>
            <w10:bordertop type="single" width="4"/>
            <w10:borderleft type="single" width="4"/>
            <w10:borderbottom type="single" width="4"/>
            <w10:borderright type="single" width="4"/>
          </v:shape>
          <o:OLEObject Type="Embed" ProgID="Equation.3" ShapeID="_x0000_i1026" DrawAspect="Content" ObjectID="_1608908610" r:id="rId8"/>
        </w:object>
      </w:r>
    </w:p>
    <w:p w:rsidR="007B576D" w:rsidRPr="004376E2" w:rsidRDefault="007B576D" w:rsidP="007B576D">
      <w:pPr>
        <w:spacing w:line="240" w:lineRule="auto"/>
        <w:jc w:val="both"/>
        <w:rPr>
          <w:rFonts w:ascii="Times New Roman" w:hAnsi="Times New Roman" w:cs="Times New Roman"/>
          <w:lang w:val="sr-Latn-CS"/>
        </w:rPr>
      </w:pPr>
      <w:r w:rsidRPr="004376E2">
        <w:rPr>
          <w:rFonts w:ascii="Times New Roman" w:hAnsi="Times New Roman" w:cs="Times New Roman"/>
          <w:lang w:val="sr-Latn-CS"/>
        </w:rPr>
        <w:t>A-anuitet,</w:t>
      </w:r>
      <w:r w:rsidR="007D2F48">
        <w:rPr>
          <w:rFonts w:ascii="Times New Roman" w:hAnsi="Times New Roman" w:cs="Times New Roman"/>
          <w:lang w:val="sr-Latn-CS"/>
        </w:rPr>
        <w:t xml:space="preserve"> </w:t>
      </w:r>
      <w:r w:rsidRPr="004376E2">
        <w:rPr>
          <w:rFonts w:ascii="Times New Roman" w:hAnsi="Times New Roman" w:cs="Times New Roman"/>
          <w:lang w:val="sr-Latn-CS"/>
        </w:rPr>
        <w:t>G-glavnica,</w:t>
      </w:r>
      <w:r w:rsidR="007D2F48">
        <w:rPr>
          <w:rFonts w:ascii="Times New Roman" w:hAnsi="Times New Roman" w:cs="Times New Roman"/>
          <w:lang w:val="sr-Latn-CS"/>
        </w:rPr>
        <w:t xml:space="preserve"> </w:t>
      </w:r>
      <w:r w:rsidRPr="004376E2">
        <w:rPr>
          <w:rFonts w:ascii="Times New Roman" w:hAnsi="Times New Roman" w:cs="Times New Roman"/>
          <w:lang w:val="sr-Latn-CS"/>
        </w:rPr>
        <w:t>n-broj perioda u kojima se otplaćuje glavnica i</w:t>
      </w:r>
      <w:r w:rsidR="007D2F48">
        <w:rPr>
          <w:rFonts w:ascii="Times New Roman" w:hAnsi="Times New Roman" w:cs="Times New Roman"/>
          <w:lang w:val="sr-Latn-CS"/>
        </w:rPr>
        <w:t xml:space="preserve"> </w:t>
      </w:r>
      <w:r w:rsidRPr="004376E2">
        <w:rPr>
          <w:rFonts w:ascii="Times New Roman" w:hAnsi="Times New Roman" w:cs="Times New Roman"/>
          <w:lang w:val="sr-Latn-CS"/>
        </w:rPr>
        <w:t>i-kamatna stopa za pripadajući period</w:t>
      </w:r>
    </w:p>
    <w:p w:rsidR="007B576D" w:rsidRPr="004376E2" w:rsidRDefault="007D2F48" w:rsidP="007B576D">
      <w:pPr>
        <w:spacing w:line="240" w:lineRule="auto"/>
        <w:jc w:val="both"/>
        <w:rPr>
          <w:rFonts w:ascii="Times New Roman" w:hAnsi="Times New Roman" w:cs="Times New Roman"/>
          <w:lang w:val="sr-Latn-CS"/>
        </w:rPr>
      </w:pPr>
      <w:r>
        <w:rPr>
          <w:rFonts w:ascii="Times New Roman" w:hAnsi="Times New Roman" w:cs="Times New Roman"/>
          <w:lang w:val="sr-Latn-CS"/>
        </w:rPr>
        <w:t>A</w:t>
      </w:r>
      <w:r w:rsidR="007B576D" w:rsidRPr="004376E2">
        <w:rPr>
          <w:rFonts w:ascii="Times New Roman" w:hAnsi="Times New Roman" w:cs="Times New Roman"/>
          <w:lang w:val="sr-Latn-CS"/>
        </w:rPr>
        <w:t>nuitet se jednostavnije izračunava pomoću finansijske funkcije PMT u Microsoft Excelu. Npr. preduzeće je pozajmilo 110 EUR. Faza otplate je 3 godine. Plaćanje je šestomesečno, a godišnja kamatna stopa je 10%. Pripadajuća kamatna stopa iznosi 4.88%, pa možemo izračunati</w:t>
      </w:r>
      <w:r>
        <w:rPr>
          <w:rFonts w:ascii="Times New Roman" w:hAnsi="Times New Roman" w:cs="Times New Roman"/>
          <w:lang w:val="sr-Latn-CS"/>
        </w:rPr>
        <w:t xml:space="preserve"> A</w:t>
      </w:r>
      <w:r w:rsidR="007B576D" w:rsidRPr="004376E2">
        <w:rPr>
          <w:rFonts w:ascii="Times New Roman" w:hAnsi="Times New Roman" w:cs="Times New Roman"/>
          <w:lang w:val="sr-Latn-CS"/>
        </w:rPr>
        <w:t>=-PMT(4.88%,6,110)</w:t>
      </w:r>
      <w:r>
        <w:rPr>
          <w:rFonts w:ascii="Times New Roman" w:hAnsi="Times New Roman" w:cs="Times New Roman"/>
          <w:lang w:val="sr-Latn-CS"/>
        </w:rPr>
        <w:t>=</w:t>
      </w:r>
      <w:r w:rsidR="007B576D" w:rsidRPr="004376E2">
        <w:rPr>
          <w:rFonts w:ascii="Times New Roman" w:hAnsi="Times New Roman" w:cs="Times New Roman"/>
          <w:lang w:val="sr-Latn-CS"/>
        </w:rPr>
        <w:t>21.59 EUR.</w:t>
      </w:r>
    </w:p>
    <w:p w:rsidR="007B576D" w:rsidRPr="004376E2" w:rsidRDefault="007B576D" w:rsidP="007D2F48">
      <w:pPr>
        <w:spacing w:after="0" w:line="240" w:lineRule="auto"/>
        <w:jc w:val="both"/>
        <w:rPr>
          <w:rFonts w:ascii="Times New Roman" w:hAnsi="Times New Roman" w:cs="Times New Roman"/>
          <w:lang w:val="sr-Latn-CS"/>
        </w:rPr>
      </w:pPr>
      <w:r w:rsidRPr="004376E2">
        <w:rPr>
          <w:rFonts w:ascii="Times New Roman" w:hAnsi="Times New Roman" w:cs="Times New Roman"/>
          <w:lang w:val="sr-Latn-CS"/>
        </w:rPr>
        <w:t>U drugom koraku se izračunava kamata kao proizvod ostatka glavnice na kraju prethodnog perioda i kamatne stope za pripadajući period.</w:t>
      </w:r>
      <w:r w:rsidR="007D2F48">
        <w:rPr>
          <w:rFonts w:ascii="Times New Roman" w:hAnsi="Times New Roman" w:cs="Times New Roman"/>
          <w:lang w:val="sr-Latn-CS"/>
        </w:rPr>
        <w:t xml:space="preserve"> </w:t>
      </w:r>
      <w:r w:rsidRPr="004376E2">
        <w:rPr>
          <w:rFonts w:ascii="Times New Roman" w:hAnsi="Times New Roman" w:cs="Times New Roman"/>
          <w:lang w:val="sr-Latn-CS"/>
        </w:rPr>
        <w:t>Izračunava se otplata tako što se kamata oduzima od anuiteta.</w:t>
      </w:r>
    </w:p>
    <w:p w:rsidR="007B576D" w:rsidRDefault="007B576D" w:rsidP="007B576D">
      <w:pPr>
        <w:spacing w:after="0" w:line="240" w:lineRule="auto"/>
        <w:ind w:left="360"/>
        <w:jc w:val="both"/>
        <w:rPr>
          <w:rFonts w:ascii="Times New Roman" w:hAnsi="Times New Roman" w:cs="Times New Roman"/>
          <w:lang w:val="sr-Latn-CS"/>
        </w:rPr>
      </w:pPr>
    </w:p>
    <w:p w:rsidR="00996C09" w:rsidRDefault="00996C09" w:rsidP="007B576D">
      <w:pPr>
        <w:spacing w:after="0" w:line="240" w:lineRule="auto"/>
        <w:ind w:left="360"/>
        <w:jc w:val="both"/>
        <w:rPr>
          <w:rFonts w:ascii="Times New Roman" w:hAnsi="Times New Roman" w:cs="Times New Roman"/>
          <w:lang w:val="sr-Latn-CS"/>
        </w:rPr>
      </w:pPr>
    </w:p>
    <w:p w:rsidR="00996C09" w:rsidRDefault="00996C09" w:rsidP="007B576D">
      <w:pPr>
        <w:spacing w:after="0" w:line="240" w:lineRule="auto"/>
        <w:ind w:left="360"/>
        <w:jc w:val="both"/>
        <w:rPr>
          <w:rFonts w:ascii="Times New Roman" w:hAnsi="Times New Roman" w:cs="Times New Roman"/>
          <w:lang w:val="sr-Latn-CS"/>
        </w:rPr>
      </w:pPr>
    </w:p>
    <w:p w:rsidR="00996C09" w:rsidRDefault="00996C09" w:rsidP="007B576D">
      <w:pPr>
        <w:spacing w:after="0" w:line="240" w:lineRule="auto"/>
        <w:ind w:left="360"/>
        <w:jc w:val="both"/>
        <w:rPr>
          <w:rFonts w:ascii="Times New Roman" w:hAnsi="Times New Roman" w:cs="Times New Roman"/>
          <w:lang w:val="sr-Latn-CS"/>
        </w:rPr>
      </w:pPr>
    </w:p>
    <w:p w:rsidR="007A7E9C" w:rsidRDefault="007A7E9C" w:rsidP="007B576D">
      <w:pPr>
        <w:spacing w:after="0" w:line="240" w:lineRule="auto"/>
        <w:ind w:left="360"/>
        <w:jc w:val="both"/>
        <w:rPr>
          <w:rFonts w:ascii="Times New Roman" w:hAnsi="Times New Roman" w:cs="Times New Roman"/>
          <w:lang w:val="sr-Latn-CS"/>
        </w:rPr>
      </w:pPr>
    </w:p>
    <w:p w:rsidR="00996C09" w:rsidRPr="004376E2" w:rsidRDefault="00996C09" w:rsidP="007B576D">
      <w:pPr>
        <w:spacing w:after="0" w:line="240" w:lineRule="auto"/>
        <w:ind w:left="360"/>
        <w:jc w:val="both"/>
        <w:rPr>
          <w:rFonts w:ascii="Times New Roman" w:hAnsi="Times New Roman" w:cs="Times New Roman"/>
          <w:lang w:val="sr-Latn-CS"/>
        </w:rPr>
      </w:pPr>
    </w:p>
    <w:p w:rsidR="007B576D" w:rsidRPr="004376E2" w:rsidRDefault="007B576D" w:rsidP="007D2F48">
      <w:pPr>
        <w:spacing w:line="240" w:lineRule="auto"/>
        <w:jc w:val="both"/>
        <w:rPr>
          <w:rFonts w:ascii="Times New Roman" w:hAnsi="Times New Roman" w:cs="Times New Roman"/>
          <w:b/>
          <w:lang w:val="sr-Latn-CS"/>
        </w:rPr>
      </w:pPr>
      <w:r w:rsidRPr="004376E2">
        <w:rPr>
          <w:rFonts w:ascii="Times New Roman" w:hAnsi="Times New Roman" w:cs="Times New Roman"/>
          <w:b/>
          <w:lang w:val="sr-Latn-CS"/>
        </w:rPr>
        <w:t>PRIMER IZRADE TABELA IZVORA FINANSIRANJA</w:t>
      </w:r>
    </w:p>
    <w:p w:rsidR="007B576D" w:rsidRPr="004376E2" w:rsidRDefault="007B576D" w:rsidP="007B576D">
      <w:pPr>
        <w:spacing w:line="240" w:lineRule="auto"/>
        <w:jc w:val="both"/>
        <w:rPr>
          <w:rFonts w:ascii="Times New Roman" w:hAnsi="Times New Roman" w:cs="Times New Roman"/>
          <w:lang w:val="sr-Latn-CS"/>
        </w:rPr>
      </w:pPr>
      <w:r w:rsidRPr="004376E2">
        <w:rPr>
          <w:rFonts w:ascii="Times New Roman" w:hAnsi="Times New Roman" w:cs="Times New Roman"/>
          <w:lang w:val="sr-Latn-CS"/>
        </w:rPr>
        <w:t xml:space="preserve">U prvom koraku neophodno je sagledati ulaganja </w:t>
      </w:r>
      <w:r w:rsidR="007D2F48">
        <w:rPr>
          <w:rFonts w:ascii="Times New Roman" w:hAnsi="Times New Roman" w:cs="Times New Roman"/>
          <w:lang w:val="sr-Latn-CS"/>
        </w:rPr>
        <w:t>koja</w:t>
      </w:r>
      <w:r w:rsidRPr="004376E2">
        <w:rPr>
          <w:rFonts w:ascii="Times New Roman" w:hAnsi="Times New Roman" w:cs="Times New Roman"/>
          <w:lang w:val="sr-Latn-CS"/>
        </w:rPr>
        <w:t xml:space="preserve"> se planira</w:t>
      </w:r>
      <w:r w:rsidR="007D2F48">
        <w:rPr>
          <w:rFonts w:ascii="Times New Roman" w:hAnsi="Times New Roman" w:cs="Times New Roman"/>
          <w:lang w:val="sr-Latn-CS"/>
        </w:rPr>
        <w:t>ju</w:t>
      </w:r>
      <w:r w:rsidRPr="004376E2">
        <w:rPr>
          <w:rFonts w:ascii="Times New Roman" w:hAnsi="Times New Roman" w:cs="Times New Roman"/>
          <w:lang w:val="sr-Latn-CS"/>
        </w:rPr>
        <w:t xml:space="preserve"> finansirati iz spoljnih izvora finansiranja. Kako je predviđeno da se tehnološka oprema uzme na kredit u iznosu od </w:t>
      </w:r>
      <w:r w:rsidR="007D2F48">
        <w:rPr>
          <w:rFonts w:ascii="Times New Roman" w:hAnsi="Times New Roman" w:cs="Times New Roman"/>
          <w:lang w:val="sr-Latn-CS"/>
        </w:rPr>
        <w:t>po</w:t>
      </w:r>
      <w:r w:rsidRPr="004376E2">
        <w:rPr>
          <w:rFonts w:ascii="Times New Roman" w:hAnsi="Times New Roman" w:cs="Times New Roman"/>
          <w:lang w:val="sr-Latn-CS"/>
        </w:rPr>
        <w:t xml:space="preserve"> 500.000 EUR i to 30.06.2005. i 31.</w:t>
      </w:r>
      <w:r w:rsidR="00996C09">
        <w:rPr>
          <w:rFonts w:ascii="Times New Roman" w:hAnsi="Times New Roman" w:cs="Times New Roman"/>
          <w:lang w:val="sr-Latn-CS"/>
        </w:rPr>
        <w:t>12.2005. sa sledećim uslovima</w:t>
      </w:r>
      <w:r w:rsidRPr="004376E2">
        <w:rPr>
          <w:rFonts w:ascii="Times New Roman" w:hAnsi="Times New Roman" w:cs="Times New Roman"/>
          <w:lang w:val="sr-Latn-CS"/>
        </w:rPr>
        <w:t xml:space="preserve"> finansiranja.</w:t>
      </w:r>
    </w:p>
    <w:tbl>
      <w:tblPr>
        <w:tblStyle w:val="TableGrid"/>
        <w:tblW w:w="0" w:type="auto"/>
        <w:tblLook w:val="01E0"/>
      </w:tblPr>
      <w:tblGrid>
        <w:gridCol w:w="4303"/>
        <w:gridCol w:w="4303"/>
      </w:tblGrid>
      <w:tr w:rsidR="007B576D" w:rsidRPr="004376E2" w:rsidTr="006A468F">
        <w:trPr>
          <w:trHeight w:val="94"/>
        </w:trPr>
        <w:tc>
          <w:tcPr>
            <w:tcW w:w="4303" w:type="dxa"/>
          </w:tcPr>
          <w:p w:rsidR="007B576D" w:rsidRPr="004376E2" w:rsidRDefault="007B576D" w:rsidP="007B576D">
            <w:pPr>
              <w:jc w:val="both"/>
              <w:rPr>
                <w:sz w:val="22"/>
                <w:szCs w:val="22"/>
                <w:lang w:val="sr-Latn-CS"/>
              </w:rPr>
            </w:pPr>
            <w:r w:rsidRPr="004376E2">
              <w:rPr>
                <w:sz w:val="22"/>
                <w:szCs w:val="22"/>
                <w:lang w:val="sr-Latn-CS"/>
              </w:rPr>
              <w:t>Moratorjum</w:t>
            </w:r>
          </w:p>
        </w:tc>
        <w:tc>
          <w:tcPr>
            <w:tcW w:w="4303" w:type="dxa"/>
          </w:tcPr>
          <w:p w:rsidR="007B576D" w:rsidRPr="004376E2" w:rsidRDefault="007B576D" w:rsidP="007B576D">
            <w:pPr>
              <w:jc w:val="both"/>
              <w:rPr>
                <w:sz w:val="22"/>
                <w:szCs w:val="22"/>
                <w:lang w:val="sr-Latn-CS"/>
              </w:rPr>
            </w:pPr>
            <w:r w:rsidRPr="004376E2">
              <w:rPr>
                <w:sz w:val="22"/>
                <w:szCs w:val="22"/>
                <w:lang w:val="sr-Latn-CS"/>
              </w:rPr>
              <w:t>6 meseci (samo za prvu uplatu)</w:t>
            </w:r>
          </w:p>
        </w:tc>
      </w:tr>
      <w:tr w:rsidR="007B576D" w:rsidRPr="004376E2" w:rsidTr="006A468F">
        <w:trPr>
          <w:trHeight w:val="250"/>
        </w:trPr>
        <w:tc>
          <w:tcPr>
            <w:tcW w:w="4303" w:type="dxa"/>
          </w:tcPr>
          <w:p w:rsidR="007B576D" w:rsidRPr="004376E2" w:rsidRDefault="007B576D" w:rsidP="007B576D">
            <w:pPr>
              <w:jc w:val="both"/>
              <w:rPr>
                <w:sz w:val="22"/>
                <w:szCs w:val="22"/>
                <w:lang w:val="sr-Latn-CS"/>
              </w:rPr>
            </w:pPr>
            <w:r w:rsidRPr="004376E2">
              <w:rPr>
                <w:sz w:val="22"/>
                <w:szCs w:val="22"/>
                <w:lang w:val="sr-Latn-CS"/>
              </w:rPr>
              <w:t>Grejs period</w:t>
            </w:r>
          </w:p>
        </w:tc>
        <w:tc>
          <w:tcPr>
            <w:tcW w:w="4303" w:type="dxa"/>
          </w:tcPr>
          <w:p w:rsidR="007B576D" w:rsidRPr="004376E2" w:rsidRDefault="007B576D" w:rsidP="007B576D">
            <w:pPr>
              <w:jc w:val="both"/>
              <w:rPr>
                <w:sz w:val="22"/>
                <w:szCs w:val="22"/>
                <w:lang w:val="sr-Latn-CS"/>
              </w:rPr>
            </w:pPr>
            <w:r w:rsidRPr="004376E2">
              <w:rPr>
                <w:sz w:val="22"/>
                <w:szCs w:val="22"/>
                <w:lang w:val="sr-Latn-CS"/>
              </w:rPr>
              <w:t>1 godina</w:t>
            </w:r>
          </w:p>
        </w:tc>
      </w:tr>
      <w:tr w:rsidR="007B576D" w:rsidRPr="004376E2" w:rsidTr="006A468F">
        <w:trPr>
          <w:trHeight w:val="250"/>
        </w:trPr>
        <w:tc>
          <w:tcPr>
            <w:tcW w:w="4303" w:type="dxa"/>
          </w:tcPr>
          <w:p w:rsidR="007B576D" w:rsidRPr="004376E2" w:rsidRDefault="007B576D" w:rsidP="007B576D">
            <w:pPr>
              <w:jc w:val="both"/>
              <w:rPr>
                <w:sz w:val="22"/>
                <w:szCs w:val="22"/>
                <w:lang w:val="sr-Latn-CS"/>
              </w:rPr>
            </w:pPr>
            <w:r w:rsidRPr="004376E2">
              <w:rPr>
                <w:sz w:val="22"/>
                <w:szCs w:val="22"/>
                <w:lang w:val="sr-Latn-CS"/>
              </w:rPr>
              <w:t>Rok vraćanja</w:t>
            </w:r>
          </w:p>
        </w:tc>
        <w:tc>
          <w:tcPr>
            <w:tcW w:w="4303" w:type="dxa"/>
          </w:tcPr>
          <w:p w:rsidR="007B576D" w:rsidRPr="004376E2" w:rsidRDefault="007B576D" w:rsidP="007B576D">
            <w:pPr>
              <w:jc w:val="both"/>
              <w:rPr>
                <w:sz w:val="22"/>
                <w:szCs w:val="22"/>
                <w:lang w:val="sr-Latn-CS"/>
              </w:rPr>
            </w:pPr>
            <w:r w:rsidRPr="004376E2">
              <w:rPr>
                <w:sz w:val="22"/>
                <w:szCs w:val="22"/>
                <w:lang w:val="sr-Latn-CS"/>
              </w:rPr>
              <w:t>4 godine i 6 meseci</w:t>
            </w:r>
          </w:p>
        </w:tc>
      </w:tr>
      <w:tr w:rsidR="007B576D" w:rsidRPr="004376E2" w:rsidTr="006A468F">
        <w:trPr>
          <w:trHeight w:val="121"/>
        </w:trPr>
        <w:tc>
          <w:tcPr>
            <w:tcW w:w="4303" w:type="dxa"/>
          </w:tcPr>
          <w:p w:rsidR="007B576D" w:rsidRPr="004376E2" w:rsidRDefault="007B576D" w:rsidP="007B576D">
            <w:pPr>
              <w:jc w:val="both"/>
              <w:rPr>
                <w:sz w:val="22"/>
                <w:szCs w:val="22"/>
                <w:lang w:val="sr-Latn-CS"/>
              </w:rPr>
            </w:pPr>
            <w:r w:rsidRPr="004376E2">
              <w:rPr>
                <w:sz w:val="22"/>
                <w:szCs w:val="22"/>
                <w:lang w:val="sr-Latn-CS"/>
              </w:rPr>
              <w:t>Dinamika plaćanja</w:t>
            </w:r>
          </w:p>
        </w:tc>
        <w:tc>
          <w:tcPr>
            <w:tcW w:w="4303" w:type="dxa"/>
          </w:tcPr>
          <w:p w:rsidR="007B576D" w:rsidRPr="004376E2" w:rsidRDefault="007B576D" w:rsidP="007B576D">
            <w:pPr>
              <w:jc w:val="both"/>
              <w:rPr>
                <w:sz w:val="22"/>
                <w:szCs w:val="22"/>
                <w:lang w:val="sr-Latn-CS"/>
              </w:rPr>
            </w:pPr>
            <w:r w:rsidRPr="004376E2">
              <w:rPr>
                <w:sz w:val="22"/>
                <w:szCs w:val="22"/>
                <w:lang w:val="sr-Latn-CS"/>
              </w:rPr>
              <w:t>Šestomesečna</w:t>
            </w:r>
          </w:p>
        </w:tc>
      </w:tr>
      <w:tr w:rsidR="007B576D" w:rsidRPr="004376E2" w:rsidTr="006A468F">
        <w:trPr>
          <w:trHeight w:val="254"/>
        </w:trPr>
        <w:tc>
          <w:tcPr>
            <w:tcW w:w="4303" w:type="dxa"/>
          </w:tcPr>
          <w:p w:rsidR="007B576D" w:rsidRPr="004376E2" w:rsidRDefault="007B576D" w:rsidP="007B576D">
            <w:pPr>
              <w:jc w:val="both"/>
              <w:rPr>
                <w:sz w:val="22"/>
                <w:szCs w:val="22"/>
                <w:lang w:val="sr-Latn-CS"/>
              </w:rPr>
            </w:pPr>
            <w:r w:rsidRPr="004376E2">
              <w:rPr>
                <w:sz w:val="22"/>
                <w:szCs w:val="22"/>
                <w:lang w:val="sr-Latn-CS"/>
              </w:rPr>
              <w:t>Godišnja kamatna stopa</w:t>
            </w:r>
          </w:p>
        </w:tc>
        <w:tc>
          <w:tcPr>
            <w:tcW w:w="4303" w:type="dxa"/>
          </w:tcPr>
          <w:p w:rsidR="007B576D" w:rsidRPr="004376E2" w:rsidRDefault="007B576D" w:rsidP="007B576D">
            <w:pPr>
              <w:jc w:val="both"/>
              <w:rPr>
                <w:sz w:val="22"/>
                <w:szCs w:val="22"/>
                <w:lang w:val="sr-Latn-CS"/>
              </w:rPr>
            </w:pPr>
            <w:r w:rsidRPr="004376E2">
              <w:rPr>
                <w:sz w:val="22"/>
                <w:szCs w:val="22"/>
                <w:lang w:val="sr-Latn-CS"/>
              </w:rPr>
              <w:t>10%</w:t>
            </w:r>
          </w:p>
        </w:tc>
      </w:tr>
    </w:tbl>
    <w:p w:rsidR="00996C09" w:rsidRDefault="00996C09" w:rsidP="00996C09">
      <w:pPr>
        <w:spacing w:after="0" w:line="240" w:lineRule="auto"/>
        <w:jc w:val="both"/>
        <w:rPr>
          <w:rFonts w:ascii="Times New Roman" w:hAnsi="Times New Roman" w:cs="Times New Roman"/>
          <w:lang w:val="sr-Latn-CS"/>
        </w:rPr>
      </w:pPr>
    </w:p>
    <w:p w:rsidR="007B576D" w:rsidRPr="004376E2" w:rsidRDefault="007B576D" w:rsidP="007B576D">
      <w:pPr>
        <w:spacing w:line="240" w:lineRule="auto"/>
        <w:jc w:val="both"/>
        <w:rPr>
          <w:rFonts w:ascii="Times New Roman" w:hAnsi="Times New Roman" w:cs="Times New Roman"/>
          <w:lang w:val="sr-Latn-CS"/>
        </w:rPr>
      </w:pPr>
      <w:r w:rsidRPr="004376E2">
        <w:rPr>
          <w:rFonts w:ascii="Times New Roman" w:hAnsi="Times New Roman" w:cs="Times New Roman"/>
          <w:lang w:val="sr-Latn-CS"/>
        </w:rPr>
        <w:t>U prvom koraku izračunavamo kamatnu stopu za period moratorijuma</w:t>
      </w:r>
      <w:r w:rsidR="00996C09">
        <w:rPr>
          <w:rFonts w:ascii="Times New Roman" w:hAnsi="Times New Roman" w:cs="Times New Roman"/>
          <w:lang w:val="sr-Latn-CS"/>
        </w:rPr>
        <w:t xml:space="preserve"> -</w:t>
      </w:r>
      <w:r w:rsidRPr="004376E2">
        <w:rPr>
          <w:rFonts w:ascii="Times New Roman" w:hAnsi="Times New Roman" w:cs="Times New Roman"/>
          <w:lang w:val="sr-Latn-CS"/>
        </w:rPr>
        <w:t xml:space="preserve"> za 6 meseci</w:t>
      </w:r>
      <w:r w:rsidR="00996C09">
        <w:rPr>
          <w:rFonts w:ascii="Times New Roman" w:hAnsi="Times New Roman" w:cs="Times New Roman"/>
          <w:lang w:val="sr-Latn-CS"/>
        </w:rPr>
        <w:t xml:space="preserve"> </w:t>
      </w:r>
      <w:r w:rsidRPr="004376E2">
        <w:rPr>
          <w:rFonts w:ascii="Times New Roman" w:hAnsi="Times New Roman" w:cs="Times New Roman"/>
          <w:lang w:val="sr-Latn-CS"/>
        </w:rPr>
        <w:t>=</w:t>
      </w:r>
      <w:r w:rsidR="007A7E9C">
        <w:rPr>
          <w:rFonts w:ascii="Times New Roman" w:hAnsi="Times New Roman" w:cs="Times New Roman"/>
          <w:lang w:val="sr-Latn-CS"/>
        </w:rPr>
        <w:t xml:space="preserve"> </w:t>
      </w:r>
      <w:r w:rsidRPr="004376E2">
        <w:rPr>
          <w:rFonts w:ascii="Times New Roman" w:hAnsi="Times New Roman" w:cs="Times New Roman"/>
          <w:lang w:val="sr-Latn-CS"/>
        </w:rPr>
        <w:t>power (1.1;6/12)-1=4.88%</w:t>
      </w:r>
    </w:p>
    <w:p w:rsidR="007B576D" w:rsidRPr="004376E2" w:rsidRDefault="007B576D" w:rsidP="007B576D">
      <w:pPr>
        <w:spacing w:line="240" w:lineRule="auto"/>
        <w:jc w:val="both"/>
        <w:rPr>
          <w:rFonts w:ascii="Times New Roman" w:hAnsi="Times New Roman" w:cs="Times New Roman"/>
          <w:lang w:val="sr-Latn-CS"/>
        </w:rPr>
      </w:pPr>
      <w:r w:rsidRPr="004376E2">
        <w:rPr>
          <w:rFonts w:ascii="Times New Roman" w:hAnsi="Times New Roman" w:cs="Times New Roman"/>
          <w:lang w:val="sr-Latn-CS"/>
        </w:rPr>
        <w:t>Primenom alternativnog postupka obračuna rashoda po osnovu troškova kreditiranja, rashodi kamate vezani za period do aktiviranja investicije uvećavaju nabavnu vrednost tehnološke opreme, tako da je iznos konkretnog ulaganja sa aspekta preduzeća identičan iznosu glavnice duga na dan koji prethodi aktiviranju investicije.</w:t>
      </w:r>
    </w:p>
    <w:p w:rsidR="007B576D" w:rsidRPr="004376E2" w:rsidRDefault="007B576D" w:rsidP="007B576D">
      <w:pPr>
        <w:spacing w:line="240" w:lineRule="auto"/>
        <w:jc w:val="both"/>
        <w:rPr>
          <w:rFonts w:ascii="Times New Roman" w:hAnsi="Times New Roman" w:cs="Times New Roman"/>
          <w:lang w:val="sr-Latn-CS"/>
        </w:rPr>
      </w:pPr>
      <w:r w:rsidRPr="004376E2">
        <w:rPr>
          <w:rFonts w:ascii="Times New Roman" w:hAnsi="Times New Roman" w:cs="Times New Roman"/>
          <w:lang w:val="sr-Latn-CS"/>
        </w:rPr>
        <w:t>Prva tabela vezana za izvore finansiranja je tabela o poreklu izvora finansiranja za svako grupno iskazano ulaganje.</w:t>
      </w:r>
    </w:p>
    <w:tbl>
      <w:tblPr>
        <w:tblStyle w:val="TableGrid"/>
        <w:tblW w:w="0" w:type="auto"/>
        <w:tblLook w:val="01E0"/>
      </w:tblPr>
      <w:tblGrid>
        <w:gridCol w:w="3192"/>
        <w:gridCol w:w="3192"/>
        <w:gridCol w:w="3192"/>
      </w:tblGrid>
      <w:tr w:rsidR="007B576D" w:rsidRPr="004376E2" w:rsidTr="006A468F">
        <w:tc>
          <w:tcPr>
            <w:tcW w:w="3192" w:type="dxa"/>
          </w:tcPr>
          <w:p w:rsidR="007B576D" w:rsidRPr="004376E2" w:rsidRDefault="007B576D" w:rsidP="007B576D">
            <w:pPr>
              <w:jc w:val="both"/>
              <w:rPr>
                <w:sz w:val="22"/>
                <w:szCs w:val="22"/>
                <w:lang w:val="sr-Latn-CS"/>
              </w:rPr>
            </w:pPr>
            <w:r w:rsidRPr="004376E2">
              <w:rPr>
                <w:sz w:val="22"/>
                <w:szCs w:val="22"/>
                <w:lang w:val="sr-Latn-CS"/>
              </w:rPr>
              <w:t>Vrsta ulaganja</w:t>
            </w:r>
          </w:p>
        </w:tc>
        <w:tc>
          <w:tcPr>
            <w:tcW w:w="3192" w:type="dxa"/>
          </w:tcPr>
          <w:p w:rsidR="007B576D" w:rsidRPr="004376E2" w:rsidRDefault="007B576D" w:rsidP="007B576D">
            <w:pPr>
              <w:jc w:val="both"/>
              <w:rPr>
                <w:sz w:val="22"/>
                <w:szCs w:val="22"/>
                <w:lang w:val="sr-Latn-CS"/>
              </w:rPr>
            </w:pPr>
            <w:r w:rsidRPr="004376E2">
              <w:rPr>
                <w:sz w:val="22"/>
                <w:szCs w:val="22"/>
                <w:lang w:val="sr-Latn-CS"/>
              </w:rPr>
              <w:t>Nabavna vrednost u EUR</w:t>
            </w:r>
          </w:p>
        </w:tc>
        <w:tc>
          <w:tcPr>
            <w:tcW w:w="3192" w:type="dxa"/>
          </w:tcPr>
          <w:p w:rsidR="007B576D" w:rsidRPr="004376E2" w:rsidRDefault="007B576D" w:rsidP="007B576D">
            <w:pPr>
              <w:jc w:val="both"/>
              <w:rPr>
                <w:sz w:val="22"/>
                <w:szCs w:val="22"/>
                <w:lang w:val="sr-Latn-CS"/>
              </w:rPr>
            </w:pPr>
            <w:r w:rsidRPr="004376E2">
              <w:rPr>
                <w:sz w:val="22"/>
                <w:szCs w:val="22"/>
                <w:lang w:val="sr-Latn-CS"/>
              </w:rPr>
              <w:t>Izvor finansiranja</w:t>
            </w:r>
          </w:p>
        </w:tc>
      </w:tr>
      <w:tr w:rsidR="007B576D" w:rsidRPr="004376E2" w:rsidTr="006A468F">
        <w:tc>
          <w:tcPr>
            <w:tcW w:w="3192" w:type="dxa"/>
          </w:tcPr>
          <w:p w:rsidR="007B576D" w:rsidRPr="004376E2" w:rsidRDefault="007B576D" w:rsidP="007B576D">
            <w:pPr>
              <w:jc w:val="both"/>
              <w:rPr>
                <w:sz w:val="22"/>
                <w:szCs w:val="22"/>
                <w:lang w:val="sr-Latn-CS"/>
              </w:rPr>
            </w:pPr>
            <w:r w:rsidRPr="004376E2">
              <w:rPr>
                <w:sz w:val="22"/>
                <w:szCs w:val="22"/>
                <w:lang w:val="sr-Latn-CS"/>
              </w:rPr>
              <w:t>Objekat</w:t>
            </w:r>
          </w:p>
        </w:tc>
        <w:tc>
          <w:tcPr>
            <w:tcW w:w="3192" w:type="dxa"/>
          </w:tcPr>
          <w:p w:rsidR="007B576D" w:rsidRPr="004376E2" w:rsidRDefault="007B576D" w:rsidP="007B576D">
            <w:pPr>
              <w:jc w:val="both"/>
              <w:rPr>
                <w:sz w:val="22"/>
                <w:szCs w:val="22"/>
                <w:lang w:val="sr-Latn-CS"/>
              </w:rPr>
            </w:pPr>
            <w:r w:rsidRPr="004376E2">
              <w:rPr>
                <w:sz w:val="22"/>
                <w:szCs w:val="22"/>
                <w:lang w:val="sr-Latn-CS"/>
              </w:rPr>
              <w:t>1.000.000,00</w:t>
            </w:r>
          </w:p>
        </w:tc>
        <w:tc>
          <w:tcPr>
            <w:tcW w:w="3192" w:type="dxa"/>
          </w:tcPr>
          <w:p w:rsidR="007B576D" w:rsidRPr="004376E2" w:rsidRDefault="007B576D" w:rsidP="007B576D">
            <w:pPr>
              <w:jc w:val="both"/>
              <w:rPr>
                <w:sz w:val="22"/>
                <w:szCs w:val="22"/>
                <w:lang w:val="sr-Latn-CS"/>
              </w:rPr>
            </w:pPr>
            <w:r w:rsidRPr="004376E2">
              <w:rPr>
                <w:sz w:val="22"/>
                <w:szCs w:val="22"/>
                <w:lang w:val="sr-Latn-CS"/>
              </w:rPr>
              <w:t>Sopstvena sredstva</w:t>
            </w:r>
          </w:p>
        </w:tc>
      </w:tr>
      <w:tr w:rsidR="007B576D" w:rsidRPr="004376E2" w:rsidTr="006A468F">
        <w:tc>
          <w:tcPr>
            <w:tcW w:w="3192" w:type="dxa"/>
          </w:tcPr>
          <w:p w:rsidR="007B576D" w:rsidRPr="004376E2" w:rsidRDefault="007B576D" w:rsidP="007B576D">
            <w:pPr>
              <w:jc w:val="both"/>
              <w:rPr>
                <w:sz w:val="22"/>
                <w:szCs w:val="22"/>
                <w:lang w:val="sr-Latn-CS"/>
              </w:rPr>
            </w:pPr>
            <w:r w:rsidRPr="004376E2">
              <w:rPr>
                <w:sz w:val="22"/>
                <w:szCs w:val="22"/>
                <w:lang w:val="sr-Latn-CS"/>
              </w:rPr>
              <w:t>Tehnološka oprema</w:t>
            </w:r>
          </w:p>
        </w:tc>
        <w:tc>
          <w:tcPr>
            <w:tcW w:w="3192" w:type="dxa"/>
          </w:tcPr>
          <w:p w:rsidR="007B576D" w:rsidRPr="007A7E9C" w:rsidRDefault="007B576D" w:rsidP="007B576D">
            <w:pPr>
              <w:jc w:val="both"/>
              <w:rPr>
                <w:b/>
                <w:sz w:val="22"/>
                <w:szCs w:val="22"/>
                <w:lang w:val="sr-Latn-CS"/>
              </w:rPr>
            </w:pPr>
            <w:r w:rsidRPr="007A7E9C">
              <w:rPr>
                <w:b/>
                <w:sz w:val="22"/>
                <w:szCs w:val="22"/>
                <w:lang w:val="sr-Latn-CS"/>
              </w:rPr>
              <w:t>1.024.404,42</w:t>
            </w:r>
          </w:p>
        </w:tc>
        <w:tc>
          <w:tcPr>
            <w:tcW w:w="3192" w:type="dxa"/>
          </w:tcPr>
          <w:p w:rsidR="007B576D" w:rsidRPr="007A7E9C" w:rsidRDefault="007B576D" w:rsidP="007B576D">
            <w:pPr>
              <w:jc w:val="both"/>
              <w:rPr>
                <w:b/>
                <w:sz w:val="22"/>
                <w:szCs w:val="22"/>
                <w:lang w:val="sr-Latn-CS"/>
              </w:rPr>
            </w:pPr>
            <w:r w:rsidRPr="007A7E9C">
              <w:rPr>
                <w:b/>
                <w:sz w:val="22"/>
                <w:szCs w:val="22"/>
                <w:lang w:val="sr-Latn-CS"/>
              </w:rPr>
              <w:t xml:space="preserve">Kredit </w:t>
            </w:r>
          </w:p>
        </w:tc>
      </w:tr>
      <w:tr w:rsidR="007B576D" w:rsidRPr="004376E2" w:rsidTr="006A468F">
        <w:tc>
          <w:tcPr>
            <w:tcW w:w="3192" w:type="dxa"/>
          </w:tcPr>
          <w:p w:rsidR="007B576D" w:rsidRPr="004376E2" w:rsidRDefault="007B576D" w:rsidP="007B576D">
            <w:pPr>
              <w:jc w:val="both"/>
              <w:rPr>
                <w:sz w:val="22"/>
                <w:szCs w:val="22"/>
                <w:lang w:val="sr-Latn-CS"/>
              </w:rPr>
            </w:pPr>
            <w:r w:rsidRPr="004376E2">
              <w:rPr>
                <w:sz w:val="22"/>
                <w:szCs w:val="22"/>
                <w:lang w:val="sr-Latn-CS"/>
              </w:rPr>
              <w:t>Elelktro oprema</w:t>
            </w:r>
          </w:p>
        </w:tc>
        <w:tc>
          <w:tcPr>
            <w:tcW w:w="3192" w:type="dxa"/>
          </w:tcPr>
          <w:p w:rsidR="007B576D" w:rsidRPr="004376E2" w:rsidRDefault="007B576D" w:rsidP="007B576D">
            <w:pPr>
              <w:jc w:val="both"/>
              <w:rPr>
                <w:sz w:val="22"/>
                <w:szCs w:val="22"/>
                <w:lang w:val="sr-Latn-CS"/>
              </w:rPr>
            </w:pPr>
            <w:r w:rsidRPr="004376E2">
              <w:rPr>
                <w:sz w:val="22"/>
                <w:szCs w:val="22"/>
                <w:lang w:val="sr-Latn-CS"/>
              </w:rPr>
              <w:t>50.000,00</w:t>
            </w:r>
          </w:p>
        </w:tc>
        <w:tc>
          <w:tcPr>
            <w:tcW w:w="3192" w:type="dxa"/>
          </w:tcPr>
          <w:p w:rsidR="007B576D" w:rsidRPr="004376E2" w:rsidRDefault="007B576D" w:rsidP="007B576D">
            <w:pPr>
              <w:jc w:val="both"/>
              <w:rPr>
                <w:sz w:val="22"/>
                <w:szCs w:val="22"/>
                <w:lang w:val="sr-Latn-CS"/>
              </w:rPr>
            </w:pPr>
            <w:r w:rsidRPr="004376E2">
              <w:rPr>
                <w:sz w:val="22"/>
                <w:szCs w:val="22"/>
                <w:lang w:val="sr-Latn-CS"/>
              </w:rPr>
              <w:t>Sopstvena sredstva</w:t>
            </w:r>
          </w:p>
        </w:tc>
      </w:tr>
      <w:tr w:rsidR="007B576D" w:rsidRPr="004376E2" w:rsidTr="006A468F">
        <w:tc>
          <w:tcPr>
            <w:tcW w:w="3192" w:type="dxa"/>
          </w:tcPr>
          <w:p w:rsidR="007B576D" w:rsidRPr="004376E2" w:rsidRDefault="007B576D" w:rsidP="007B576D">
            <w:pPr>
              <w:jc w:val="both"/>
              <w:rPr>
                <w:sz w:val="22"/>
                <w:szCs w:val="22"/>
                <w:lang w:val="sr-Latn-CS"/>
              </w:rPr>
            </w:pPr>
            <w:r w:rsidRPr="004376E2">
              <w:rPr>
                <w:sz w:val="22"/>
                <w:szCs w:val="22"/>
                <w:lang w:val="sr-Latn-CS"/>
              </w:rPr>
              <w:t>Transportna sredstva</w:t>
            </w:r>
          </w:p>
        </w:tc>
        <w:tc>
          <w:tcPr>
            <w:tcW w:w="3192" w:type="dxa"/>
          </w:tcPr>
          <w:p w:rsidR="007B576D" w:rsidRPr="004376E2" w:rsidRDefault="007B576D" w:rsidP="007B576D">
            <w:pPr>
              <w:jc w:val="both"/>
              <w:rPr>
                <w:sz w:val="22"/>
                <w:szCs w:val="22"/>
                <w:lang w:val="sr-Latn-CS"/>
              </w:rPr>
            </w:pPr>
            <w:r w:rsidRPr="004376E2">
              <w:rPr>
                <w:sz w:val="22"/>
                <w:szCs w:val="22"/>
                <w:lang w:val="sr-Latn-CS"/>
              </w:rPr>
              <w:t>30.000,00</w:t>
            </w:r>
          </w:p>
        </w:tc>
        <w:tc>
          <w:tcPr>
            <w:tcW w:w="3192" w:type="dxa"/>
          </w:tcPr>
          <w:p w:rsidR="007B576D" w:rsidRPr="004376E2" w:rsidRDefault="007B576D" w:rsidP="007B576D">
            <w:pPr>
              <w:jc w:val="both"/>
              <w:rPr>
                <w:sz w:val="22"/>
                <w:szCs w:val="22"/>
                <w:lang w:val="sr-Latn-CS"/>
              </w:rPr>
            </w:pPr>
            <w:r w:rsidRPr="004376E2">
              <w:rPr>
                <w:sz w:val="22"/>
                <w:szCs w:val="22"/>
                <w:lang w:val="sr-Latn-CS"/>
              </w:rPr>
              <w:t>Sopstvena sredstva</w:t>
            </w:r>
          </w:p>
        </w:tc>
      </w:tr>
      <w:tr w:rsidR="007B576D" w:rsidRPr="004376E2" w:rsidTr="006A468F">
        <w:tc>
          <w:tcPr>
            <w:tcW w:w="3192" w:type="dxa"/>
          </w:tcPr>
          <w:p w:rsidR="007B576D" w:rsidRPr="004376E2" w:rsidRDefault="007B576D" w:rsidP="007B576D">
            <w:pPr>
              <w:jc w:val="both"/>
              <w:rPr>
                <w:sz w:val="22"/>
                <w:szCs w:val="22"/>
                <w:lang w:val="sr-Latn-CS"/>
              </w:rPr>
            </w:pPr>
            <w:r w:rsidRPr="004376E2">
              <w:rPr>
                <w:sz w:val="22"/>
                <w:szCs w:val="22"/>
                <w:lang w:val="sr-Latn-CS"/>
              </w:rPr>
              <w:t>Trajna obrtna sredstva</w:t>
            </w:r>
          </w:p>
        </w:tc>
        <w:tc>
          <w:tcPr>
            <w:tcW w:w="3192" w:type="dxa"/>
          </w:tcPr>
          <w:p w:rsidR="007B576D" w:rsidRPr="004376E2" w:rsidRDefault="007B576D" w:rsidP="007B576D">
            <w:pPr>
              <w:jc w:val="both"/>
              <w:rPr>
                <w:sz w:val="22"/>
                <w:szCs w:val="22"/>
                <w:lang w:val="sr-Latn-CS"/>
              </w:rPr>
            </w:pPr>
            <w:r w:rsidRPr="004376E2">
              <w:rPr>
                <w:sz w:val="22"/>
                <w:szCs w:val="22"/>
                <w:lang w:val="sr-Latn-CS"/>
              </w:rPr>
              <w:t>651.594,11</w:t>
            </w:r>
          </w:p>
        </w:tc>
        <w:tc>
          <w:tcPr>
            <w:tcW w:w="3192" w:type="dxa"/>
          </w:tcPr>
          <w:p w:rsidR="007B576D" w:rsidRPr="004376E2" w:rsidRDefault="007B576D" w:rsidP="007B576D">
            <w:pPr>
              <w:jc w:val="both"/>
              <w:rPr>
                <w:sz w:val="22"/>
                <w:szCs w:val="22"/>
                <w:lang w:val="sr-Latn-CS"/>
              </w:rPr>
            </w:pPr>
            <w:r w:rsidRPr="004376E2">
              <w:rPr>
                <w:sz w:val="22"/>
                <w:szCs w:val="22"/>
                <w:lang w:val="sr-Latn-CS"/>
              </w:rPr>
              <w:t>Sopstvena sredstva</w:t>
            </w:r>
          </w:p>
        </w:tc>
      </w:tr>
      <w:tr w:rsidR="007B576D" w:rsidRPr="004376E2" w:rsidTr="006A468F">
        <w:tc>
          <w:tcPr>
            <w:tcW w:w="3192" w:type="dxa"/>
          </w:tcPr>
          <w:p w:rsidR="007B576D" w:rsidRPr="004376E2" w:rsidRDefault="007B576D" w:rsidP="007B576D">
            <w:pPr>
              <w:jc w:val="both"/>
              <w:rPr>
                <w:sz w:val="22"/>
                <w:szCs w:val="22"/>
                <w:lang w:val="sr-Latn-CS"/>
              </w:rPr>
            </w:pPr>
            <w:r w:rsidRPr="004376E2">
              <w:rPr>
                <w:sz w:val="22"/>
                <w:szCs w:val="22"/>
                <w:lang w:val="sr-Latn-CS"/>
              </w:rPr>
              <w:t>UKUPNA ULAGANJA</w:t>
            </w:r>
          </w:p>
        </w:tc>
        <w:tc>
          <w:tcPr>
            <w:tcW w:w="3192" w:type="dxa"/>
          </w:tcPr>
          <w:p w:rsidR="007B576D" w:rsidRPr="004376E2" w:rsidRDefault="007B576D" w:rsidP="007B576D">
            <w:pPr>
              <w:jc w:val="both"/>
              <w:rPr>
                <w:sz w:val="22"/>
                <w:szCs w:val="22"/>
                <w:lang w:val="sr-Latn-CS"/>
              </w:rPr>
            </w:pPr>
            <w:r w:rsidRPr="004376E2">
              <w:rPr>
                <w:sz w:val="22"/>
                <w:szCs w:val="22"/>
                <w:lang w:val="sr-Latn-CS"/>
              </w:rPr>
              <w:t>2.755.998,54</w:t>
            </w:r>
          </w:p>
        </w:tc>
        <w:tc>
          <w:tcPr>
            <w:tcW w:w="3192" w:type="dxa"/>
          </w:tcPr>
          <w:p w:rsidR="007B576D" w:rsidRPr="004376E2" w:rsidRDefault="007B576D" w:rsidP="007B576D">
            <w:pPr>
              <w:jc w:val="both"/>
              <w:rPr>
                <w:sz w:val="22"/>
                <w:szCs w:val="22"/>
                <w:lang w:val="sr-Latn-CS"/>
              </w:rPr>
            </w:pPr>
          </w:p>
        </w:tc>
      </w:tr>
    </w:tbl>
    <w:p w:rsidR="00996C09" w:rsidRDefault="00996C09" w:rsidP="00996C09">
      <w:pPr>
        <w:spacing w:after="0" w:line="240" w:lineRule="auto"/>
        <w:jc w:val="both"/>
        <w:rPr>
          <w:rFonts w:ascii="Times New Roman" w:hAnsi="Times New Roman" w:cs="Times New Roman"/>
          <w:lang w:val="sr-Latn-CS"/>
        </w:rPr>
      </w:pPr>
    </w:p>
    <w:p w:rsidR="007B576D" w:rsidRPr="004376E2" w:rsidRDefault="007B576D" w:rsidP="007B576D">
      <w:pPr>
        <w:spacing w:line="240" w:lineRule="auto"/>
        <w:jc w:val="both"/>
        <w:rPr>
          <w:rFonts w:ascii="Times New Roman" w:hAnsi="Times New Roman" w:cs="Times New Roman"/>
          <w:lang w:val="sr-Latn-CS"/>
        </w:rPr>
      </w:pPr>
      <w:r w:rsidRPr="004376E2">
        <w:rPr>
          <w:rFonts w:ascii="Times New Roman" w:hAnsi="Times New Roman" w:cs="Times New Roman"/>
          <w:lang w:val="sr-Latn-CS"/>
        </w:rPr>
        <w:t>Sledeća tabela je tabela o procentualnom učešću sopstvenih i pozajmljenih izvora finansiranja u ukupnim ulaganjima. Ova tabela je n</w:t>
      </w:r>
      <w:r w:rsidR="00996C09">
        <w:rPr>
          <w:rFonts w:ascii="Times New Roman" w:hAnsi="Times New Roman" w:cs="Times New Roman"/>
          <w:lang w:val="sr-Latn-CS"/>
        </w:rPr>
        <w:t xml:space="preserve">eophodna obzirom da kreditori </w:t>
      </w:r>
      <w:r w:rsidRPr="004376E2">
        <w:rPr>
          <w:rFonts w:ascii="Times New Roman" w:hAnsi="Times New Roman" w:cs="Times New Roman"/>
          <w:lang w:val="sr-Latn-CS"/>
        </w:rPr>
        <w:t>traže da se određeni procenat ulaganja finansira iz sopstvenih sredstava.</w:t>
      </w:r>
    </w:p>
    <w:tbl>
      <w:tblPr>
        <w:tblStyle w:val="TableGrid"/>
        <w:tblW w:w="0" w:type="auto"/>
        <w:tblLook w:val="01E0"/>
      </w:tblPr>
      <w:tblGrid>
        <w:gridCol w:w="3192"/>
        <w:gridCol w:w="3192"/>
        <w:gridCol w:w="3192"/>
      </w:tblGrid>
      <w:tr w:rsidR="007B576D" w:rsidRPr="004376E2" w:rsidTr="006A468F">
        <w:tc>
          <w:tcPr>
            <w:tcW w:w="3192" w:type="dxa"/>
          </w:tcPr>
          <w:p w:rsidR="007B576D" w:rsidRPr="004376E2" w:rsidRDefault="007B576D" w:rsidP="007B576D">
            <w:pPr>
              <w:jc w:val="both"/>
              <w:rPr>
                <w:sz w:val="22"/>
                <w:szCs w:val="22"/>
                <w:lang w:val="sr-Latn-CS"/>
              </w:rPr>
            </w:pPr>
            <w:r w:rsidRPr="004376E2">
              <w:rPr>
                <w:sz w:val="22"/>
                <w:szCs w:val="22"/>
                <w:lang w:val="sr-Latn-CS"/>
              </w:rPr>
              <w:t>Vrsta ulaganja</w:t>
            </w:r>
          </w:p>
        </w:tc>
        <w:tc>
          <w:tcPr>
            <w:tcW w:w="3192" w:type="dxa"/>
          </w:tcPr>
          <w:p w:rsidR="007B576D" w:rsidRPr="004376E2" w:rsidRDefault="007B576D" w:rsidP="007B576D">
            <w:pPr>
              <w:jc w:val="both"/>
              <w:rPr>
                <w:sz w:val="22"/>
                <w:szCs w:val="22"/>
                <w:lang w:val="sr-Latn-CS"/>
              </w:rPr>
            </w:pPr>
            <w:r w:rsidRPr="004376E2">
              <w:rPr>
                <w:sz w:val="22"/>
                <w:szCs w:val="22"/>
                <w:lang w:val="sr-Latn-CS"/>
              </w:rPr>
              <w:t>Nabavna vrednost u EUR</w:t>
            </w:r>
          </w:p>
        </w:tc>
        <w:tc>
          <w:tcPr>
            <w:tcW w:w="3192" w:type="dxa"/>
          </w:tcPr>
          <w:p w:rsidR="007B576D" w:rsidRPr="004376E2" w:rsidRDefault="007B576D" w:rsidP="007B576D">
            <w:pPr>
              <w:jc w:val="both"/>
              <w:rPr>
                <w:sz w:val="22"/>
                <w:szCs w:val="22"/>
                <w:lang w:val="sr-Latn-CS"/>
              </w:rPr>
            </w:pPr>
            <w:r w:rsidRPr="004376E2">
              <w:rPr>
                <w:sz w:val="22"/>
                <w:szCs w:val="22"/>
                <w:lang w:val="sr-Latn-CS"/>
              </w:rPr>
              <w:t>% od ukupnih ulaganja</w:t>
            </w:r>
          </w:p>
        </w:tc>
      </w:tr>
      <w:tr w:rsidR="007B576D" w:rsidRPr="004376E2" w:rsidTr="006A468F">
        <w:tc>
          <w:tcPr>
            <w:tcW w:w="3192" w:type="dxa"/>
          </w:tcPr>
          <w:p w:rsidR="007B576D" w:rsidRPr="004376E2" w:rsidRDefault="007B576D" w:rsidP="007B576D">
            <w:pPr>
              <w:jc w:val="both"/>
              <w:rPr>
                <w:sz w:val="22"/>
                <w:szCs w:val="22"/>
                <w:lang w:val="sr-Latn-CS"/>
              </w:rPr>
            </w:pPr>
            <w:r w:rsidRPr="004376E2">
              <w:rPr>
                <w:sz w:val="22"/>
                <w:szCs w:val="22"/>
                <w:lang w:val="sr-Latn-CS"/>
              </w:rPr>
              <w:t>Sopstvena ulaganja</w:t>
            </w:r>
          </w:p>
        </w:tc>
        <w:tc>
          <w:tcPr>
            <w:tcW w:w="3192" w:type="dxa"/>
          </w:tcPr>
          <w:p w:rsidR="007B576D" w:rsidRPr="004376E2" w:rsidRDefault="007B576D" w:rsidP="007B576D">
            <w:pPr>
              <w:jc w:val="both"/>
              <w:rPr>
                <w:sz w:val="22"/>
                <w:szCs w:val="22"/>
                <w:lang w:val="sr-Latn-CS"/>
              </w:rPr>
            </w:pPr>
          </w:p>
        </w:tc>
        <w:tc>
          <w:tcPr>
            <w:tcW w:w="3192" w:type="dxa"/>
          </w:tcPr>
          <w:p w:rsidR="007B576D" w:rsidRPr="004376E2" w:rsidRDefault="007B576D" w:rsidP="007B576D">
            <w:pPr>
              <w:jc w:val="both"/>
              <w:rPr>
                <w:sz w:val="22"/>
                <w:szCs w:val="22"/>
                <w:lang w:val="sr-Latn-CS"/>
              </w:rPr>
            </w:pPr>
          </w:p>
        </w:tc>
      </w:tr>
      <w:tr w:rsidR="007B576D" w:rsidRPr="004376E2" w:rsidTr="006A468F">
        <w:tc>
          <w:tcPr>
            <w:tcW w:w="3192" w:type="dxa"/>
          </w:tcPr>
          <w:p w:rsidR="007B576D" w:rsidRPr="004376E2" w:rsidRDefault="007B576D" w:rsidP="007B576D">
            <w:pPr>
              <w:jc w:val="both"/>
              <w:rPr>
                <w:sz w:val="22"/>
                <w:szCs w:val="22"/>
                <w:lang w:val="sr-Latn-CS"/>
              </w:rPr>
            </w:pPr>
            <w:r w:rsidRPr="004376E2">
              <w:rPr>
                <w:sz w:val="22"/>
                <w:szCs w:val="22"/>
                <w:lang w:val="sr-Latn-CS"/>
              </w:rPr>
              <w:t>Kredit</w:t>
            </w:r>
          </w:p>
        </w:tc>
        <w:tc>
          <w:tcPr>
            <w:tcW w:w="3192" w:type="dxa"/>
          </w:tcPr>
          <w:p w:rsidR="007B576D" w:rsidRPr="004376E2" w:rsidRDefault="007B576D" w:rsidP="007B576D">
            <w:pPr>
              <w:jc w:val="both"/>
              <w:rPr>
                <w:sz w:val="22"/>
                <w:szCs w:val="22"/>
                <w:lang w:val="sr-Latn-CS"/>
              </w:rPr>
            </w:pPr>
          </w:p>
        </w:tc>
        <w:tc>
          <w:tcPr>
            <w:tcW w:w="3192" w:type="dxa"/>
          </w:tcPr>
          <w:p w:rsidR="007B576D" w:rsidRPr="004376E2" w:rsidRDefault="007B576D" w:rsidP="007B576D">
            <w:pPr>
              <w:jc w:val="both"/>
              <w:rPr>
                <w:sz w:val="22"/>
                <w:szCs w:val="22"/>
                <w:lang w:val="sr-Latn-CS"/>
              </w:rPr>
            </w:pPr>
          </w:p>
        </w:tc>
      </w:tr>
      <w:tr w:rsidR="007B576D" w:rsidRPr="004376E2" w:rsidTr="006A468F">
        <w:tc>
          <w:tcPr>
            <w:tcW w:w="3192" w:type="dxa"/>
          </w:tcPr>
          <w:p w:rsidR="007B576D" w:rsidRPr="004376E2" w:rsidRDefault="007B576D" w:rsidP="007B576D">
            <w:pPr>
              <w:jc w:val="both"/>
              <w:rPr>
                <w:sz w:val="22"/>
                <w:szCs w:val="22"/>
                <w:lang w:val="sr-Latn-CS"/>
              </w:rPr>
            </w:pPr>
            <w:r w:rsidRPr="004376E2">
              <w:rPr>
                <w:sz w:val="22"/>
                <w:szCs w:val="22"/>
                <w:lang w:val="sr-Latn-CS"/>
              </w:rPr>
              <w:t>UKUPNA ULAGANJA</w:t>
            </w:r>
          </w:p>
        </w:tc>
        <w:tc>
          <w:tcPr>
            <w:tcW w:w="3192" w:type="dxa"/>
          </w:tcPr>
          <w:p w:rsidR="007B576D" w:rsidRPr="004376E2" w:rsidRDefault="007B576D" w:rsidP="007B576D">
            <w:pPr>
              <w:jc w:val="both"/>
              <w:rPr>
                <w:sz w:val="22"/>
                <w:szCs w:val="22"/>
                <w:lang w:val="sr-Latn-CS"/>
              </w:rPr>
            </w:pPr>
          </w:p>
        </w:tc>
        <w:tc>
          <w:tcPr>
            <w:tcW w:w="3192" w:type="dxa"/>
          </w:tcPr>
          <w:p w:rsidR="007B576D" w:rsidRPr="004376E2" w:rsidRDefault="007B576D" w:rsidP="007B576D">
            <w:pPr>
              <w:jc w:val="both"/>
              <w:rPr>
                <w:sz w:val="22"/>
                <w:szCs w:val="22"/>
                <w:lang w:val="sr-Latn-CS"/>
              </w:rPr>
            </w:pPr>
          </w:p>
        </w:tc>
      </w:tr>
    </w:tbl>
    <w:p w:rsidR="00996C09" w:rsidRDefault="00996C09" w:rsidP="00996C09">
      <w:pPr>
        <w:spacing w:after="0" w:line="240" w:lineRule="auto"/>
        <w:jc w:val="both"/>
        <w:rPr>
          <w:rFonts w:ascii="Times New Roman" w:hAnsi="Times New Roman" w:cs="Times New Roman"/>
          <w:b/>
          <w:i/>
          <w:u w:val="single"/>
          <w:lang w:val="sr-Latn-CS"/>
        </w:rPr>
      </w:pPr>
    </w:p>
    <w:p w:rsidR="007B576D" w:rsidRPr="004376E2" w:rsidRDefault="007B576D" w:rsidP="007B576D">
      <w:pPr>
        <w:spacing w:line="240" w:lineRule="auto"/>
        <w:jc w:val="both"/>
        <w:rPr>
          <w:rFonts w:ascii="Times New Roman" w:hAnsi="Times New Roman" w:cs="Times New Roman"/>
          <w:b/>
          <w:i/>
          <w:u w:val="single"/>
          <w:lang w:val="sr-Latn-CS"/>
        </w:rPr>
      </w:pPr>
      <w:r w:rsidRPr="004376E2">
        <w:rPr>
          <w:rFonts w:ascii="Times New Roman" w:hAnsi="Times New Roman" w:cs="Times New Roman"/>
          <w:b/>
          <w:i/>
          <w:u w:val="single"/>
          <w:lang w:val="sr-Latn-CS"/>
        </w:rPr>
        <w:t>Kreditne faze:</w:t>
      </w:r>
    </w:p>
    <w:p w:rsidR="007B576D" w:rsidRPr="00996C09" w:rsidRDefault="007B576D" w:rsidP="00996C09">
      <w:pPr>
        <w:spacing w:after="0" w:line="240" w:lineRule="auto"/>
        <w:jc w:val="both"/>
        <w:rPr>
          <w:rFonts w:ascii="Times New Roman" w:hAnsi="Times New Roman" w:cs="Times New Roman"/>
          <w:lang w:val="sr-Latn-CS"/>
        </w:rPr>
      </w:pPr>
      <w:r w:rsidRPr="00996C09">
        <w:rPr>
          <w:rFonts w:ascii="Times New Roman" w:hAnsi="Times New Roman" w:cs="Times New Roman"/>
          <w:lang w:val="sr-Latn-CS"/>
        </w:rPr>
        <w:t>I faza je moratorijum i traje od 30.06.2005. godine do 31.12.2005. godine.</w:t>
      </w:r>
    </w:p>
    <w:p w:rsidR="00996C09" w:rsidRPr="00996C09" w:rsidRDefault="00996C09" w:rsidP="00996C09">
      <w:pPr>
        <w:spacing w:after="0"/>
        <w:jc w:val="both"/>
        <w:rPr>
          <w:rFonts w:ascii="Times New Roman" w:hAnsi="Times New Roman" w:cs="Times New Roman"/>
          <w:lang w:val="sr-Latn-CS"/>
        </w:rPr>
      </w:pPr>
      <w:r w:rsidRPr="00996C09">
        <w:rPr>
          <w:rFonts w:ascii="Times New Roman" w:hAnsi="Times New Roman" w:cs="Times New Roman"/>
          <w:lang w:val="sr-Latn-CS"/>
        </w:rPr>
        <w:t xml:space="preserve">II faza je grejs period i traje od 31.12.2005. godine do 31.12.2006. godine. U grejs periodu se aktivira obaveza plaćanja kamate, dok glavnica duga na početku i na kraju perioda ostaje ista. </w:t>
      </w:r>
      <w:r w:rsidRPr="00996C09">
        <w:rPr>
          <w:rFonts w:ascii="Times New Roman" w:hAnsi="Times New Roman" w:cs="Times New Roman"/>
          <w:lang w:val="sr-Latn-CS"/>
        </w:rPr>
        <w:t>Da</w:t>
      </w:r>
      <w:r w:rsidRPr="00996C09">
        <w:rPr>
          <w:rFonts w:ascii="Times New Roman" w:hAnsi="Times New Roman" w:cs="Times New Roman"/>
          <w:lang w:val="sr-Latn-CS"/>
        </w:rPr>
        <w:t>tum plaćanja prve rate kamate</w:t>
      </w:r>
      <w:r w:rsidRPr="00996C09">
        <w:rPr>
          <w:rFonts w:ascii="Times New Roman" w:hAnsi="Times New Roman" w:cs="Times New Roman"/>
          <w:lang w:val="sr-Latn-CS"/>
        </w:rPr>
        <w:t xml:space="preserve"> 30.06.2006.</w:t>
      </w:r>
    </w:p>
    <w:p w:rsidR="007B576D" w:rsidRDefault="00996C09" w:rsidP="00996C09">
      <w:pPr>
        <w:spacing w:after="0"/>
        <w:jc w:val="both"/>
        <w:rPr>
          <w:rFonts w:ascii="Times New Roman" w:hAnsi="Times New Roman" w:cs="Times New Roman"/>
          <w:lang w:val="sr-Latn-CS"/>
        </w:rPr>
      </w:pPr>
      <w:r w:rsidRPr="00996C09">
        <w:rPr>
          <w:rFonts w:ascii="Times New Roman" w:hAnsi="Times New Roman" w:cs="Times New Roman"/>
          <w:lang w:val="sr-Latn-CS"/>
        </w:rPr>
        <w:t>III faza je period otplate i traje od 31.12.2006. godine do 31.12.2009. godine. U ovoj fazi aktivira se obaveza vraćanja glavnice.</w:t>
      </w:r>
      <w:r w:rsidRPr="00996C09">
        <w:rPr>
          <w:rFonts w:ascii="Times New Roman" w:hAnsi="Times New Roman" w:cs="Times New Roman"/>
          <w:lang w:val="sr-Latn-CS"/>
        </w:rPr>
        <w:t xml:space="preserve"> </w:t>
      </w:r>
      <w:r w:rsidRPr="00996C09">
        <w:rPr>
          <w:rFonts w:ascii="Times New Roman" w:hAnsi="Times New Roman" w:cs="Times New Roman"/>
          <w:lang w:val="sr-Latn-CS"/>
        </w:rPr>
        <w:t>D</w:t>
      </w:r>
      <w:r w:rsidRPr="00996C09">
        <w:rPr>
          <w:rFonts w:ascii="Times New Roman" w:hAnsi="Times New Roman" w:cs="Times New Roman"/>
          <w:lang w:val="sr-Latn-CS"/>
        </w:rPr>
        <w:t>atum plaćanja prve rate otplate</w:t>
      </w:r>
      <w:r w:rsidRPr="00996C09">
        <w:rPr>
          <w:rFonts w:ascii="Times New Roman" w:hAnsi="Times New Roman" w:cs="Times New Roman"/>
          <w:lang w:val="sr-Latn-CS"/>
        </w:rPr>
        <w:t xml:space="preserve"> 30.06.2007.</w:t>
      </w:r>
      <w:r w:rsidRPr="00996C09">
        <w:rPr>
          <w:rFonts w:ascii="Times New Roman" w:hAnsi="Times New Roman" w:cs="Times New Roman"/>
          <w:lang w:val="sr-Latn-CS"/>
        </w:rPr>
        <w:t xml:space="preserve"> </w:t>
      </w:r>
      <w:r w:rsidRPr="00996C09">
        <w:rPr>
          <w:rFonts w:ascii="Times New Roman" w:hAnsi="Times New Roman" w:cs="Times New Roman"/>
          <w:lang w:val="sr-Latn-CS"/>
        </w:rPr>
        <w:t>Datum plaćanja poslednje rate otplate = Datum uplate kredita + Rok vraćanja = 30.06.2005. + 4 godine i 6 meseci = 31.12.2009.</w:t>
      </w:r>
    </w:p>
    <w:p w:rsidR="00996C09" w:rsidRPr="00996C09" w:rsidRDefault="00996C09" w:rsidP="00996C09">
      <w:pPr>
        <w:spacing w:after="0"/>
        <w:jc w:val="both"/>
        <w:rPr>
          <w:rFonts w:ascii="Times New Roman" w:hAnsi="Times New Roman" w:cs="Times New Roman"/>
          <w:lang w:val="sr-Latn-CS"/>
        </w:rPr>
      </w:pPr>
    </w:p>
    <w:p w:rsidR="007B576D" w:rsidRDefault="00996C09" w:rsidP="007B576D">
      <w:pPr>
        <w:spacing w:after="0" w:line="240" w:lineRule="auto"/>
        <w:jc w:val="both"/>
        <w:rPr>
          <w:rFonts w:ascii="Times New Roman" w:hAnsi="Times New Roman" w:cs="Times New Roman"/>
          <w:lang w:val="sr-Latn-CS"/>
        </w:rPr>
      </w:pPr>
      <w:r>
        <w:rPr>
          <w:rFonts w:ascii="Times New Roman" w:hAnsi="Times New Roman" w:cs="Times New Roman"/>
          <w:b/>
          <w:lang w:val="sr-Latn-CS"/>
        </w:rPr>
        <w:t>M</w:t>
      </w:r>
      <w:r w:rsidR="007B576D" w:rsidRPr="004376E2">
        <w:rPr>
          <w:rFonts w:ascii="Times New Roman" w:hAnsi="Times New Roman" w:cs="Times New Roman"/>
          <w:b/>
          <w:lang w:val="sr-Latn-CS"/>
        </w:rPr>
        <w:t>etod jednakih otplata</w:t>
      </w:r>
      <w:r w:rsidR="005D5D64">
        <w:rPr>
          <w:rFonts w:ascii="Times New Roman" w:hAnsi="Times New Roman" w:cs="Times New Roman"/>
          <w:b/>
          <w:lang w:val="sr-Latn-CS"/>
        </w:rPr>
        <w:t xml:space="preserve"> </w:t>
      </w:r>
      <w:r>
        <w:rPr>
          <w:rFonts w:ascii="Times New Roman" w:hAnsi="Times New Roman" w:cs="Times New Roman"/>
          <w:b/>
          <w:lang w:val="sr-Latn-CS"/>
        </w:rPr>
        <w:t xml:space="preserve"> </w:t>
      </w:r>
      <w:r>
        <w:rPr>
          <w:rFonts w:ascii="Times New Roman" w:hAnsi="Times New Roman" w:cs="Times New Roman"/>
          <w:lang w:val="sr-Latn-CS"/>
        </w:rPr>
        <w:t>O = glavnica duga/</w:t>
      </w:r>
      <w:r w:rsidR="007B576D" w:rsidRPr="004376E2">
        <w:rPr>
          <w:rFonts w:ascii="Times New Roman" w:hAnsi="Times New Roman" w:cs="Times New Roman"/>
          <w:lang w:val="sr-Latn-CS"/>
        </w:rPr>
        <w:t>broj per</w:t>
      </w:r>
      <w:r>
        <w:rPr>
          <w:rFonts w:ascii="Times New Roman" w:hAnsi="Times New Roman" w:cs="Times New Roman"/>
          <w:lang w:val="sr-Latn-CS"/>
        </w:rPr>
        <w:t>ioda u kojima se glavnica vraća=</w:t>
      </w:r>
    </w:p>
    <w:p w:rsidR="007A7E9C" w:rsidRPr="004376E2" w:rsidRDefault="007A7E9C" w:rsidP="007B576D">
      <w:pPr>
        <w:spacing w:after="0" w:line="240" w:lineRule="auto"/>
        <w:jc w:val="both"/>
        <w:rPr>
          <w:rFonts w:ascii="Times New Roman" w:hAnsi="Times New Roman" w:cs="Times New Roman"/>
          <w:lang w:val="sr-Latn-CS"/>
        </w:rPr>
      </w:pPr>
    </w:p>
    <w:tbl>
      <w:tblPr>
        <w:tblW w:w="10005" w:type="dxa"/>
        <w:tblInd w:w="93" w:type="dxa"/>
        <w:tblLook w:val="0000"/>
      </w:tblPr>
      <w:tblGrid>
        <w:gridCol w:w="1905"/>
        <w:gridCol w:w="437"/>
        <w:gridCol w:w="1453"/>
        <w:gridCol w:w="376"/>
        <w:gridCol w:w="764"/>
        <w:gridCol w:w="231"/>
        <w:gridCol w:w="914"/>
        <w:gridCol w:w="595"/>
        <w:gridCol w:w="1440"/>
        <w:gridCol w:w="90"/>
        <w:gridCol w:w="1455"/>
        <w:gridCol w:w="75"/>
        <w:gridCol w:w="270"/>
      </w:tblGrid>
      <w:tr w:rsidR="007B576D" w:rsidRPr="00996C09" w:rsidTr="002E5868">
        <w:trPr>
          <w:trHeight w:val="205"/>
        </w:trPr>
        <w:tc>
          <w:tcPr>
            <w:tcW w:w="1905" w:type="dxa"/>
            <w:tcBorders>
              <w:top w:val="single" w:sz="8" w:space="0" w:color="auto"/>
              <w:left w:val="single" w:sz="8" w:space="0" w:color="auto"/>
              <w:bottom w:val="single" w:sz="8" w:space="0" w:color="auto"/>
              <w:right w:val="single" w:sz="8" w:space="0" w:color="auto"/>
            </w:tcBorders>
            <w:shd w:val="clear" w:color="auto" w:fill="C0C0C0"/>
          </w:tcPr>
          <w:p w:rsidR="007B576D" w:rsidRPr="00996C09" w:rsidRDefault="007B576D" w:rsidP="007B576D">
            <w:pPr>
              <w:spacing w:after="0" w:line="240" w:lineRule="auto"/>
              <w:jc w:val="both"/>
              <w:rPr>
                <w:rFonts w:ascii="Times New Roman" w:hAnsi="Times New Roman" w:cs="Times New Roman"/>
                <w:b/>
                <w:bCs/>
                <w:sz w:val="20"/>
                <w:szCs w:val="20"/>
              </w:rPr>
            </w:pPr>
            <w:r w:rsidRPr="00996C09">
              <w:rPr>
                <w:rFonts w:ascii="Times New Roman" w:hAnsi="Times New Roman" w:cs="Times New Roman"/>
                <w:b/>
                <w:bCs/>
                <w:sz w:val="20"/>
                <w:szCs w:val="20"/>
                <w:lang w:val="sr-Latn-CS"/>
              </w:rPr>
              <w:t>Datum</w:t>
            </w:r>
          </w:p>
        </w:tc>
        <w:tc>
          <w:tcPr>
            <w:tcW w:w="3030" w:type="dxa"/>
            <w:gridSpan w:val="4"/>
            <w:tcBorders>
              <w:top w:val="single" w:sz="8" w:space="0" w:color="auto"/>
              <w:left w:val="nil"/>
              <w:bottom w:val="single" w:sz="8" w:space="0" w:color="auto"/>
              <w:right w:val="single" w:sz="8" w:space="0" w:color="auto"/>
            </w:tcBorders>
            <w:shd w:val="clear" w:color="auto" w:fill="C0C0C0"/>
          </w:tcPr>
          <w:p w:rsidR="007B576D" w:rsidRPr="00996C09" w:rsidRDefault="007B576D" w:rsidP="007B576D">
            <w:pPr>
              <w:spacing w:after="0" w:line="240" w:lineRule="auto"/>
              <w:jc w:val="both"/>
              <w:rPr>
                <w:rFonts w:ascii="Times New Roman" w:hAnsi="Times New Roman" w:cs="Times New Roman"/>
                <w:b/>
                <w:bCs/>
                <w:sz w:val="20"/>
                <w:szCs w:val="20"/>
              </w:rPr>
            </w:pPr>
            <w:r w:rsidRPr="00996C09">
              <w:rPr>
                <w:rFonts w:ascii="Times New Roman" w:hAnsi="Times New Roman" w:cs="Times New Roman"/>
                <w:b/>
                <w:bCs/>
                <w:sz w:val="20"/>
                <w:szCs w:val="20"/>
                <w:lang w:val="sr-Latn-CS"/>
              </w:rPr>
              <w:t>Glavnica (ostatak duga)</w:t>
            </w:r>
          </w:p>
        </w:tc>
        <w:tc>
          <w:tcPr>
            <w:tcW w:w="1740" w:type="dxa"/>
            <w:gridSpan w:val="3"/>
            <w:tcBorders>
              <w:top w:val="single" w:sz="8" w:space="0" w:color="auto"/>
              <w:left w:val="nil"/>
              <w:bottom w:val="single" w:sz="8" w:space="0" w:color="auto"/>
              <w:right w:val="single" w:sz="8" w:space="0" w:color="auto"/>
            </w:tcBorders>
            <w:shd w:val="clear" w:color="auto" w:fill="C0C0C0"/>
          </w:tcPr>
          <w:p w:rsidR="007B576D" w:rsidRPr="00996C09" w:rsidRDefault="007B576D" w:rsidP="007B576D">
            <w:pPr>
              <w:spacing w:after="0" w:line="240" w:lineRule="auto"/>
              <w:jc w:val="both"/>
              <w:rPr>
                <w:rFonts w:ascii="Times New Roman" w:hAnsi="Times New Roman" w:cs="Times New Roman"/>
                <w:b/>
                <w:bCs/>
                <w:sz w:val="20"/>
                <w:szCs w:val="20"/>
              </w:rPr>
            </w:pPr>
            <w:r w:rsidRPr="00996C09">
              <w:rPr>
                <w:rFonts w:ascii="Times New Roman" w:hAnsi="Times New Roman" w:cs="Times New Roman"/>
                <w:b/>
                <w:bCs/>
                <w:sz w:val="20"/>
                <w:szCs w:val="20"/>
                <w:lang w:val="sr-Latn-CS"/>
              </w:rPr>
              <w:t>Otplata</w:t>
            </w:r>
          </w:p>
        </w:tc>
        <w:tc>
          <w:tcPr>
            <w:tcW w:w="1530" w:type="dxa"/>
            <w:gridSpan w:val="2"/>
            <w:tcBorders>
              <w:top w:val="single" w:sz="8" w:space="0" w:color="auto"/>
              <w:left w:val="nil"/>
              <w:bottom w:val="single" w:sz="8" w:space="0" w:color="auto"/>
              <w:right w:val="single" w:sz="8" w:space="0" w:color="auto"/>
            </w:tcBorders>
            <w:shd w:val="clear" w:color="auto" w:fill="C0C0C0"/>
          </w:tcPr>
          <w:p w:rsidR="007B576D" w:rsidRPr="00996C09" w:rsidRDefault="007B576D" w:rsidP="007B576D">
            <w:pPr>
              <w:spacing w:after="0" w:line="240" w:lineRule="auto"/>
              <w:jc w:val="both"/>
              <w:rPr>
                <w:rFonts w:ascii="Times New Roman" w:hAnsi="Times New Roman" w:cs="Times New Roman"/>
                <w:b/>
                <w:bCs/>
                <w:sz w:val="20"/>
                <w:szCs w:val="20"/>
              </w:rPr>
            </w:pPr>
            <w:r w:rsidRPr="00996C09">
              <w:rPr>
                <w:rFonts w:ascii="Times New Roman" w:hAnsi="Times New Roman" w:cs="Times New Roman"/>
                <w:b/>
                <w:bCs/>
                <w:sz w:val="20"/>
                <w:szCs w:val="20"/>
                <w:lang w:val="sr-Latn-CS"/>
              </w:rPr>
              <w:t>Kamata</w:t>
            </w:r>
          </w:p>
        </w:tc>
        <w:tc>
          <w:tcPr>
            <w:tcW w:w="1800" w:type="dxa"/>
            <w:gridSpan w:val="3"/>
            <w:tcBorders>
              <w:top w:val="single" w:sz="8" w:space="0" w:color="auto"/>
              <w:left w:val="nil"/>
              <w:bottom w:val="single" w:sz="8" w:space="0" w:color="auto"/>
              <w:right w:val="single" w:sz="8" w:space="0" w:color="auto"/>
            </w:tcBorders>
            <w:shd w:val="clear" w:color="auto" w:fill="C0C0C0"/>
          </w:tcPr>
          <w:p w:rsidR="007B576D" w:rsidRPr="00996C09" w:rsidRDefault="007B576D" w:rsidP="007B576D">
            <w:pPr>
              <w:spacing w:after="0" w:line="240" w:lineRule="auto"/>
              <w:jc w:val="both"/>
              <w:rPr>
                <w:rFonts w:ascii="Times New Roman" w:hAnsi="Times New Roman" w:cs="Times New Roman"/>
                <w:b/>
                <w:bCs/>
                <w:sz w:val="20"/>
                <w:szCs w:val="20"/>
              </w:rPr>
            </w:pPr>
            <w:r w:rsidRPr="00996C09">
              <w:rPr>
                <w:rFonts w:ascii="Times New Roman" w:hAnsi="Times New Roman" w:cs="Times New Roman"/>
                <w:b/>
                <w:bCs/>
                <w:sz w:val="20"/>
                <w:szCs w:val="20"/>
                <w:lang w:val="sr-Latn-CS"/>
              </w:rPr>
              <w:t>Anuitet u EUR</w:t>
            </w:r>
          </w:p>
        </w:tc>
      </w:tr>
      <w:tr w:rsidR="007B576D" w:rsidRPr="00996C09" w:rsidTr="002E5868">
        <w:trPr>
          <w:trHeight w:val="214"/>
        </w:trPr>
        <w:tc>
          <w:tcPr>
            <w:tcW w:w="1905" w:type="dxa"/>
            <w:tcBorders>
              <w:top w:val="nil"/>
              <w:left w:val="single" w:sz="8" w:space="0" w:color="auto"/>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r w:rsidRPr="00996C09">
              <w:rPr>
                <w:rFonts w:ascii="Times New Roman" w:hAnsi="Times New Roman" w:cs="Times New Roman"/>
                <w:sz w:val="20"/>
                <w:szCs w:val="20"/>
                <w:lang w:val="sr-Latn-CS"/>
              </w:rPr>
              <w:t>30.06.2007.</w:t>
            </w:r>
          </w:p>
        </w:tc>
        <w:tc>
          <w:tcPr>
            <w:tcW w:w="3030" w:type="dxa"/>
            <w:gridSpan w:val="4"/>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r w:rsidRPr="00996C09">
              <w:rPr>
                <w:rFonts w:ascii="Times New Roman" w:hAnsi="Times New Roman" w:cs="Times New Roman"/>
                <w:sz w:val="20"/>
                <w:szCs w:val="20"/>
                <w:lang w:val="sr-Latn-CS"/>
              </w:rPr>
              <w:t>1,024,404.42</w:t>
            </w:r>
          </w:p>
        </w:tc>
        <w:tc>
          <w:tcPr>
            <w:tcW w:w="1740" w:type="dxa"/>
            <w:gridSpan w:val="3"/>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c>
          <w:tcPr>
            <w:tcW w:w="1530" w:type="dxa"/>
            <w:gridSpan w:val="2"/>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c>
          <w:tcPr>
            <w:tcW w:w="1800" w:type="dxa"/>
            <w:gridSpan w:val="3"/>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r>
      <w:tr w:rsidR="007B576D" w:rsidRPr="00996C09" w:rsidTr="002E5868">
        <w:trPr>
          <w:trHeight w:val="270"/>
        </w:trPr>
        <w:tc>
          <w:tcPr>
            <w:tcW w:w="1905" w:type="dxa"/>
            <w:tcBorders>
              <w:top w:val="nil"/>
              <w:left w:val="single" w:sz="8" w:space="0" w:color="auto"/>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r w:rsidRPr="00996C09">
              <w:rPr>
                <w:rFonts w:ascii="Times New Roman" w:hAnsi="Times New Roman" w:cs="Times New Roman"/>
                <w:sz w:val="20"/>
                <w:szCs w:val="20"/>
                <w:lang w:val="sr-Latn-CS"/>
              </w:rPr>
              <w:t>31.12.2007.</w:t>
            </w:r>
          </w:p>
        </w:tc>
        <w:tc>
          <w:tcPr>
            <w:tcW w:w="3030" w:type="dxa"/>
            <w:gridSpan w:val="4"/>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c>
          <w:tcPr>
            <w:tcW w:w="1740" w:type="dxa"/>
            <w:gridSpan w:val="3"/>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c>
          <w:tcPr>
            <w:tcW w:w="1530" w:type="dxa"/>
            <w:gridSpan w:val="2"/>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c>
          <w:tcPr>
            <w:tcW w:w="1800" w:type="dxa"/>
            <w:gridSpan w:val="3"/>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r>
      <w:tr w:rsidR="007B576D" w:rsidRPr="00996C09" w:rsidTr="002E5868">
        <w:trPr>
          <w:trHeight w:val="270"/>
        </w:trPr>
        <w:tc>
          <w:tcPr>
            <w:tcW w:w="1905" w:type="dxa"/>
            <w:tcBorders>
              <w:top w:val="nil"/>
              <w:left w:val="single" w:sz="8" w:space="0" w:color="auto"/>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r w:rsidRPr="00996C09">
              <w:rPr>
                <w:rFonts w:ascii="Times New Roman" w:hAnsi="Times New Roman" w:cs="Times New Roman"/>
                <w:sz w:val="20"/>
                <w:szCs w:val="20"/>
                <w:lang w:val="sr-Latn-CS"/>
              </w:rPr>
              <w:t>30.06.2008.</w:t>
            </w:r>
          </w:p>
        </w:tc>
        <w:tc>
          <w:tcPr>
            <w:tcW w:w="3030" w:type="dxa"/>
            <w:gridSpan w:val="4"/>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c>
          <w:tcPr>
            <w:tcW w:w="1740" w:type="dxa"/>
            <w:gridSpan w:val="3"/>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c>
          <w:tcPr>
            <w:tcW w:w="1530" w:type="dxa"/>
            <w:gridSpan w:val="2"/>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c>
          <w:tcPr>
            <w:tcW w:w="1800" w:type="dxa"/>
            <w:gridSpan w:val="3"/>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r>
      <w:tr w:rsidR="007B576D" w:rsidRPr="00996C09" w:rsidTr="002E5868">
        <w:trPr>
          <w:trHeight w:val="270"/>
        </w:trPr>
        <w:tc>
          <w:tcPr>
            <w:tcW w:w="1905" w:type="dxa"/>
            <w:tcBorders>
              <w:top w:val="nil"/>
              <w:left w:val="single" w:sz="8" w:space="0" w:color="auto"/>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r w:rsidRPr="00996C09">
              <w:rPr>
                <w:rFonts w:ascii="Times New Roman" w:hAnsi="Times New Roman" w:cs="Times New Roman"/>
                <w:sz w:val="20"/>
                <w:szCs w:val="20"/>
                <w:lang w:val="sr-Latn-CS"/>
              </w:rPr>
              <w:t>31.12.2008.</w:t>
            </w:r>
          </w:p>
        </w:tc>
        <w:tc>
          <w:tcPr>
            <w:tcW w:w="3030" w:type="dxa"/>
            <w:gridSpan w:val="4"/>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c>
          <w:tcPr>
            <w:tcW w:w="1740" w:type="dxa"/>
            <w:gridSpan w:val="3"/>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c>
          <w:tcPr>
            <w:tcW w:w="1530" w:type="dxa"/>
            <w:gridSpan w:val="2"/>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c>
          <w:tcPr>
            <w:tcW w:w="1800" w:type="dxa"/>
            <w:gridSpan w:val="3"/>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r>
      <w:tr w:rsidR="007B576D" w:rsidRPr="00996C09" w:rsidTr="002E5868">
        <w:trPr>
          <w:trHeight w:val="270"/>
        </w:trPr>
        <w:tc>
          <w:tcPr>
            <w:tcW w:w="1905" w:type="dxa"/>
            <w:tcBorders>
              <w:top w:val="nil"/>
              <w:left w:val="single" w:sz="8" w:space="0" w:color="auto"/>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r w:rsidRPr="00996C09">
              <w:rPr>
                <w:rFonts w:ascii="Times New Roman" w:hAnsi="Times New Roman" w:cs="Times New Roman"/>
                <w:sz w:val="20"/>
                <w:szCs w:val="20"/>
                <w:lang w:val="sr-Latn-CS"/>
              </w:rPr>
              <w:t>30.06.2009.</w:t>
            </w:r>
          </w:p>
        </w:tc>
        <w:tc>
          <w:tcPr>
            <w:tcW w:w="3030" w:type="dxa"/>
            <w:gridSpan w:val="4"/>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c>
          <w:tcPr>
            <w:tcW w:w="1740" w:type="dxa"/>
            <w:gridSpan w:val="3"/>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c>
          <w:tcPr>
            <w:tcW w:w="1530" w:type="dxa"/>
            <w:gridSpan w:val="2"/>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c>
          <w:tcPr>
            <w:tcW w:w="1800" w:type="dxa"/>
            <w:gridSpan w:val="3"/>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r>
      <w:tr w:rsidR="007B576D" w:rsidRPr="00996C09" w:rsidTr="002E5868">
        <w:trPr>
          <w:trHeight w:val="270"/>
        </w:trPr>
        <w:tc>
          <w:tcPr>
            <w:tcW w:w="1905" w:type="dxa"/>
            <w:tcBorders>
              <w:top w:val="nil"/>
              <w:left w:val="single" w:sz="8" w:space="0" w:color="auto"/>
              <w:bottom w:val="nil"/>
              <w:right w:val="single" w:sz="8" w:space="0" w:color="auto"/>
            </w:tcBorders>
            <w:shd w:val="clear" w:color="auto" w:fill="auto"/>
          </w:tcPr>
          <w:p w:rsidR="007B576D" w:rsidRPr="00996C09" w:rsidRDefault="000B0811" w:rsidP="00996C09">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sr-Latn-CS"/>
              </w:rPr>
              <w:t>31.12.2009</w:t>
            </w:r>
            <w:r w:rsidR="007B576D" w:rsidRPr="00996C09">
              <w:rPr>
                <w:rFonts w:ascii="Times New Roman" w:hAnsi="Times New Roman" w:cs="Times New Roman"/>
                <w:sz w:val="20"/>
                <w:szCs w:val="20"/>
                <w:lang w:val="sr-Latn-CS"/>
              </w:rPr>
              <w:t>.</w:t>
            </w:r>
          </w:p>
        </w:tc>
        <w:tc>
          <w:tcPr>
            <w:tcW w:w="3030" w:type="dxa"/>
            <w:gridSpan w:val="4"/>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c>
          <w:tcPr>
            <w:tcW w:w="1740" w:type="dxa"/>
            <w:gridSpan w:val="3"/>
            <w:tcBorders>
              <w:top w:val="nil"/>
              <w:left w:val="nil"/>
              <w:bottom w:val="nil"/>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c>
          <w:tcPr>
            <w:tcW w:w="1530" w:type="dxa"/>
            <w:gridSpan w:val="2"/>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c>
          <w:tcPr>
            <w:tcW w:w="1800" w:type="dxa"/>
            <w:gridSpan w:val="3"/>
            <w:tcBorders>
              <w:top w:val="nil"/>
              <w:left w:val="nil"/>
              <w:bottom w:val="single" w:sz="8" w:space="0" w:color="auto"/>
              <w:right w:val="single" w:sz="8" w:space="0" w:color="auto"/>
            </w:tcBorders>
            <w:shd w:val="clear" w:color="auto" w:fill="auto"/>
          </w:tcPr>
          <w:p w:rsidR="007B576D" w:rsidRPr="00996C09" w:rsidRDefault="007B576D" w:rsidP="00996C09">
            <w:pPr>
              <w:spacing w:after="0" w:line="240" w:lineRule="auto"/>
              <w:jc w:val="center"/>
              <w:rPr>
                <w:rFonts w:ascii="Times New Roman" w:hAnsi="Times New Roman" w:cs="Times New Roman"/>
                <w:sz w:val="20"/>
                <w:szCs w:val="20"/>
              </w:rPr>
            </w:pPr>
          </w:p>
        </w:tc>
      </w:tr>
      <w:tr w:rsidR="007B576D" w:rsidRPr="00996C09" w:rsidTr="002E5868">
        <w:trPr>
          <w:trHeight w:val="270"/>
        </w:trPr>
        <w:tc>
          <w:tcPr>
            <w:tcW w:w="1905" w:type="dxa"/>
            <w:tcBorders>
              <w:top w:val="single" w:sz="8" w:space="0" w:color="auto"/>
              <w:left w:val="single" w:sz="8" w:space="0" w:color="auto"/>
              <w:bottom w:val="single" w:sz="8" w:space="0" w:color="auto"/>
              <w:right w:val="single" w:sz="8" w:space="0" w:color="auto"/>
            </w:tcBorders>
            <w:shd w:val="clear" w:color="auto" w:fill="C0C0C0"/>
          </w:tcPr>
          <w:p w:rsidR="007B576D" w:rsidRPr="00996C09" w:rsidRDefault="007B576D" w:rsidP="00996C09">
            <w:pPr>
              <w:spacing w:after="0" w:line="240" w:lineRule="auto"/>
              <w:jc w:val="center"/>
              <w:rPr>
                <w:rFonts w:ascii="Times New Roman" w:hAnsi="Times New Roman" w:cs="Times New Roman"/>
                <w:sz w:val="20"/>
                <w:szCs w:val="20"/>
              </w:rPr>
            </w:pPr>
            <w:r w:rsidRPr="00996C09">
              <w:rPr>
                <w:rFonts w:ascii="Times New Roman" w:hAnsi="Times New Roman" w:cs="Times New Roman"/>
                <w:sz w:val="20"/>
                <w:szCs w:val="20"/>
              </w:rPr>
              <w:t>UKUPNO</w:t>
            </w:r>
          </w:p>
        </w:tc>
        <w:tc>
          <w:tcPr>
            <w:tcW w:w="3030" w:type="dxa"/>
            <w:gridSpan w:val="4"/>
            <w:tcBorders>
              <w:top w:val="nil"/>
              <w:left w:val="nil"/>
              <w:bottom w:val="single" w:sz="8" w:space="0" w:color="auto"/>
              <w:right w:val="single" w:sz="8" w:space="0" w:color="auto"/>
            </w:tcBorders>
            <w:shd w:val="clear" w:color="auto" w:fill="C0C0C0"/>
          </w:tcPr>
          <w:p w:rsidR="007B576D" w:rsidRPr="00996C09" w:rsidRDefault="007B576D" w:rsidP="00996C09">
            <w:pPr>
              <w:spacing w:after="0" w:line="240" w:lineRule="auto"/>
              <w:jc w:val="center"/>
              <w:rPr>
                <w:rFonts w:ascii="Times New Roman" w:hAnsi="Times New Roman" w:cs="Times New Roman"/>
                <w:sz w:val="20"/>
                <w:szCs w:val="20"/>
              </w:rPr>
            </w:pPr>
            <w:r w:rsidRPr="00996C09">
              <w:rPr>
                <w:rFonts w:ascii="Times New Roman" w:hAnsi="Times New Roman" w:cs="Times New Roman"/>
                <w:sz w:val="20"/>
                <w:szCs w:val="20"/>
              </w:rPr>
              <w:t>-</w:t>
            </w:r>
          </w:p>
        </w:tc>
        <w:tc>
          <w:tcPr>
            <w:tcW w:w="1740" w:type="dxa"/>
            <w:gridSpan w:val="3"/>
            <w:tcBorders>
              <w:top w:val="single" w:sz="8" w:space="0" w:color="auto"/>
              <w:left w:val="nil"/>
              <w:bottom w:val="single" w:sz="8" w:space="0" w:color="auto"/>
              <w:right w:val="single" w:sz="8" w:space="0" w:color="auto"/>
            </w:tcBorders>
            <w:shd w:val="clear" w:color="auto" w:fill="C0C0C0"/>
            <w:noWrap/>
            <w:vAlign w:val="bottom"/>
          </w:tcPr>
          <w:p w:rsidR="007B576D" w:rsidRPr="00996C09" w:rsidRDefault="007B576D" w:rsidP="00996C09">
            <w:pPr>
              <w:spacing w:after="0" w:line="240" w:lineRule="auto"/>
              <w:jc w:val="center"/>
              <w:rPr>
                <w:rFonts w:ascii="Times New Roman" w:hAnsi="Times New Roman" w:cs="Times New Roman"/>
                <w:sz w:val="20"/>
                <w:szCs w:val="20"/>
              </w:rPr>
            </w:pPr>
            <w:r w:rsidRPr="00996C09">
              <w:rPr>
                <w:rFonts w:ascii="Times New Roman" w:hAnsi="Times New Roman" w:cs="Times New Roman"/>
                <w:sz w:val="20"/>
                <w:szCs w:val="20"/>
              </w:rPr>
              <w:t>1,024,404.42</w:t>
            </w:r>
          </w:p>
        </w:tc>
        <w:tc>
          <w:tcPr>
            <w:tcW w:w="1530" w:type="dxa"/>
            <w:gridSpan w:val="2"/>
            <w:tcBorders>
              <w:top w:val="nil"/>
              <w:left w:val="nil"/>
              <w:bottom w:val="single" w:sz="8" w:space="0" w:color="auto"/>
              <w:right w:val="single" w:sz="8" w:space="0" w:color="auto"/>
            </w:tcBorders>
            <w:shd w:val="clear" w:color="auto" w:fill="C0C0C0"/>
            <w:noWrap/>
            <w:vAlign w:val="bottom"/>
          </w:tcPr>
          <w:p w:rsidR="007B576D" w:rsidRPr="00996C09" w:rsidRDefault="007B576D" w:rsidP="00996C09">
            <w:pPr>
              <w:spacing w:after="0" w:line="240" w:lineRule="auto"/>
              <w:jc w:val="center"/>
              <w:rPr>
                <w:rFonts w:ascii="Times New Roman" w:hAnsi="Times New Roman" w:cs="Times New Roman"/>
                <w:sz w:val="20"/>
                <w:szCs w:val="20"/>
              </w:rPr>
            </w:pPr>
          </w:p>
        </w:tc>
        <w:tc>
          <w:tcPr>
            <w:tcW w:w="1800" w:type="dxa"/>
            <w:gridSpan w:val="3"/>
            <w:tcBorders>
              <w:top w:val="nil"/>
              <w:left w:val="nil"/>
              <w:bottom w:val="single" w:sz="8" w:space="0" w:color="auto"/>
              <w:right w:val="single" w:sz="8" w:space="0" w:color="auto"/>
            </w:tcBorders>
            <w:shd w:val="clear" w:color="auto" w:fill="C0C0C0"/>
            <w:noWrap/>
            <w:vAlign w:val="bottom"/>
          </w:tcPr>
          <w:p w:rsidR="007B576D" w:rsidRPr="00996C09" w:rsidRDefault="007B576D" w:rsidP="00996C09">
            <w:pPr>
              <w:spacing w:after="0" w:line="240" w:lineRule="auto"/>
              <w:jc w:val="center"/>
              <w:rPr>
                <w:rFonts w:ascii="Times New Roman" w:hAnsi="Times New Roman" w:cs="Times New Roman"/>
                <w:sz w:val="20"/>
                <w:szCs w:val="20"/>
              </w:rPr>
            </w:pPr>
          </w:p>
        </w:tc>
      </w:tr>
      <w:tr w:rsidR="007A7E9C" w:rsidRPr="004376E2" w:rsidTr="002E5868">
        <w:trPr>
          <w:gridAfter w:val="2"/>
          <w:wAfter w:w="345" w:type="dxa"/>
          <w:trHeight w:val="270"/>
        </w:trPr>
        <w:tc>
          <w:tcPr>
            <w:tcW w:w="8115" w:type="dxa"/>
            <w:gridSpan w:val="9"/>
            <w:tcBorders>
              <w:top w:val="nil"/>
              <w:left w:val="nil"/>
              <w:bottom w:val="single" w:sz="8" w:space="0" w:color="auto"/>
              <w:right w:val="nil"/>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b/>
                <w:bCs/>
                <w:lang w:val="pl-PL"/>
              </w:rPr>
            </w:pPr>
            <w:r w:rsidRPr="004376E2">
              <w:rPr>
                <w:rFonts w:ascii="Times New Roman" w:hAnsi="Times New Roman" w:cs="Times New Roman"/>
                <w:b/>
                <w:bCs/>
                <w:lang w:val="pl-PL"/>
              </w:rPr>
              <w:lastRenderedPageBreak/>
              <w:t>Godišnji prikaz kamate i otplate (metod jednakih otplata)</w:t>
            </w:r>
          </w:p>
        </w:tc>
        <w:tc>
          <w:tcPr>
            <w:tcW w:w="1545" w:type="dxa"/>
            <w:gridSpan w:val="2"/>
            <w:tcBorders>
              <w:top w:val="nil"/>
              <w:left w:val="nil"/>
              <w:bottom w:val="nil"/>
              <w:right w:val="nil"/>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b/>
                <w:bCs/>
              </w:rPr>
            </w:pPr>
            <w:r w:rsidRPr="004376E2">
              <w:rPr>
                <w:rFonts w:ascii="Times New Roman" w:hAnsi="Times New Roman" w:cs="Times New Roman"/>
                <w:b/>
                <w:bCs/>
              </w:rPr>
              <w:t xml:space="preserve">u EUR </w:t>
            </w:r>
          </w:p>
        </w:tc>
      </w:tr>
      <w:tr w:rsidR="007A7E9C" w:rsidRPr="004376E2" w:rsidTr="002E5868">
        <w:trPr>
          <w:gridAfter w:val="2"/>
          <w:wAfter w:w="345" w:type="dxa"/>
          <w:trHeight w:val="285"/>
        </w:trPr>
        <w:tc>
          <w:tcPr>
            <w:tcW w:w="2342" w:type="dxa"/>
            <w:gridSpan w:val="2"/>
            <w:tcBorders>
              <w:top w:val="nil"/>
              <w:left w:val="single" w:sz="8" w:space="0" w:color="auto"/>
              <w:bottom w:val="single" w:sz="8" w:space="0" w:color="auto"/>
              <w:right w:val="single" w:sz="8" w:space="0" w:color="auto"/>
            </w:tcBorders>
            <w:shd w:val="clear" w:color="9999FF" w:fill="C0C0C0"/>
            <w:noWrap/>
            <w:vAlign w:val="bottom"/>
          </w:tcPr>
          <w:p w:rsidR="007A7E9C" w:rsidRPr="004376E2" w:rsidRDefault="007A7E9C" w:rsidP="00A376B2">
            <w:pPr>
              <w:spacing w:after="0" w:line="240" w:lineRule="auto"/>
              <w:jc w:val="both"/>
              <w:rPr>
                <w:rFonts w:ascii="Times New Roman" w:hAnsi="Times New Roman" w:cs="Times New Roman"/>
                <w:b/>
                <w:bCs/>
                <w:i/>
                <w:iCs/>
              </w:rPr>
            </w:pPr>
            <w:proofErr w:type="spellStart"/>
            <w:r w:rsidRPr="004376E2">
              <w:rPr>
                <w:rFonts w:ascii="Times New Roman" w:hAnsi="Times New Roman" w:cs="Times New Roman"/>
                <w:b/>
                <w:bCs/>
                <w:i/>
                <w:iCs/>
              </w:rPr>
              <w:t>Vrsta</w:t>
            </w:r>
            <w:proofErr w:type="spellEnd"/>
            <w:r w:rsidR="00EC6639">
              <w:rPr>
                <w:rFonts w:ascii="Times New Roman" w:hAnsi="Times New Roman" w:cs="Times New Roman"/>
                <w:b/>
                <w:bCs/>
                <w:i/>
                <w:iCs/>
              </w:rPr>
              <w:t xml:space="preserve"> </w:t>
            </w:r>
            <w:proofErr w:type="spellStart"/>
            <w:r w:rsidRPr="004376E2">
              <w:rPr>
                <w:rFonts w:ascii="Times New Roman" w:hAnsi="Times New Roman" w:cs="Times New Roman"/>
                <w:b/>
                <w:bCs/>
                <w:i/>
                <w:iCs/>
              </w:rPr>
              <w:t>troška</w:t>
            </w:r>
            <w:proofErr w:type="spellEnd"/>
          </w:p>
        </w:tc>
        <w:tc>
          <w:tcPr>
            <w:tcW w:w="1829" w:type="dxa"/>
            <w:gridSpan w:val="2"/>
            <w:tcBorders>
              <w:top w:val="nil"/>
              <w:left w:val="nil"/>
              <w:bottom w:val="single" w:sz="8" w:space="0" w:color="auto"/>
              <w:right w:val="single" w:sz="8" w:space="0" w:color="auto"/>
            </w:tcBorders>
            <w:shd w:val="clear" w:color="auto" w:fill="C0C0C0"/>
            <w:noWrap/>
            <w:vAlign w:val="bottom"/>
          </w:tcPr>
          <w:p w:rsidR="007A7E9C" w:rsidRPr="004376E2" w:rsidRDefault="007A7E9C" w:rsidP="00A376B2">
            <w:pPr>
              <w:spacing w:after="0" w:line="240" w:lineRule="auto"/>
              <w:jc w:val="both"/>
              <w:rPr>
                <w:rFonts w:ascii="Times New Roman" w:hAnsi="Times New Roman" w:cs="Times New Roman"/>
                <w:b/>
                <w:bCs/>
              </w:rPr>
            </w:pPr>
            <w:r w:rsidRPr="004376E2">
              <w:rPr>
                <w:rFonts w:ascii="Times New Roman" w:hAnsi="Times New Roman" w:cs="Times New Roman"/>
                <w:b/>
                <w:bCs/>
              </w:rPr>
              <w:t>2006</w:t>
            </w:r>
          </w:p>
        </w:tc>
        <w:tc>
          <w:tcPr>
            <w:tcW w:w="1909" w:type="dxa"/>
            <w:gridSpan w:val="3"/>
            <w:tcBorders>
              <w:top w:val="nil"/>
              <w:left w:val="nil"/>
              <w:bottom w:val="single" w:sz="8" w:space="0" w:color="auto"/>
              <w:right w:val="single" w:sz="8" w:space="0" w:color="auto"/>
            </w:tcBorders>
            <w:shd w:val="clear" w:color="auto" w:fill="C0C0C0"/>
            <w:noWrap/>
            <w:vAlign w:val="bottom"/>
          </w:tcPr>
          <w:p w:rsidR="007A7E9C" w:rsidRPr="004376E2" w:rsidRDefault="007A7E9C" w:rsidP="00A376B2">
            <w:pPr>
              <w:spacing w:after="0" w:line="240" w:lineRule="auto"/>
              <w:jc w:val="both"/>
              <w:rPr>
                <w:rFonts w:ascii="Times New Roman" w:hAnsi="Times New Roman" w:cs="Times New Roman"/>
                <w:b/>
                <w:bCs/>
              </w:rPr>
            </w:pPr>
            <w:r w:rsidRPr="004376E2">
              <w:rPr>
                <w:rFonts w:ascii="Times New Roman" w:hAnsi="Times New Roman" w:cs="Times New Roman"/>
                <w:b/>
                <w:bCs/>
              </w:rPr>
              <w:t>2007</w:t>
            </w:r>
          </w:p>
        </w:tc>
        <w:tc>
          <w:tcPr>
            <w:tcW w:w="2035" w:type="dxa"/>
            <w:gridSpan w:val="2"/>
            <w:tcBorders>
              <w:top w:val="nil"/>
              <w:left w:val="nil"/>
              <w:bottom w:val="single" w:sz="8" w:space="0" w:color="auto"/>
              <w:right w:val="single" w:sz="8" w:space="0" w:color="auto"/>
            </w:tcBorders>
            <w:shd w:val="clear" w:color="auto" w:fill="C0C0C0"/>
            <w:noWrap/>
            <w:vAlign w:val="bottom"/>
          </w:tcPr>
          <w:p w:rsidR="007A7E9C" w:rsidRPr="004376E2" w:rsidRDefault="007A7E9C" w:rsidP="00A376B2">
            <w:pPr>
              <w:spacing w:after="0" w:line="240" w:lineRule="auto"/>
              <w:jc w:val="both"/>
              <w:rPr>
                <w:rFonts w:ascii="Times New Roman" w:hAnsi="Times New Roman" w:cs="Times New Roman"/>
                <w:b/>
                <w:bCs/>
              </w:rPr>
            </w:pPr>
            <w:r w:rsidRPr="004376E2">
              <w:rPr>
                <w:rFonts w:ascii="Times New Roman" w:hAnsi="Times New Roman" w:cs="Times New Roman"/>
                <w:b/>
                <w:bCs/>
              </w:rPr>
              <w:t>2008</w:t>
            </w:r>
          </w:p>
        </w:tc>
        <w:tc>
          <w:tcPr>
            <w:tcW w:w="1545" w:type="dxa"/>
            <w:gridSpan w:val="2"/>
            <w:tcBorders>
              <w:top w:val="single" w:sz="8" w:space="0" w:color="auto"/>
              <w:left w:val="nil"/>
              <w:bottom w:val="single" w:sz="8" w:space="0" w:color="auto"/>
              <w:right w:val="single" w:sz="8" w:space="0" w:color="auto"/>
            </w:tcBorders>
            <w:shd w:val="clear" w:color="auto" w:fill="C0C0C0"/>
            <w:noWrap/>
            <w:vAlign w:val="bottom"/>
          </w:tcPr>
          <w:p w:rsidR="007A7E9C" w:rsidRPr="004376E2" w:rsidRDefault="007A7E9C" w:rsidP="00A376B2">
            <w:pPr>
              <w:spacing w:after="0" w:line="240" w:lineRule="auto"/>
              <w:jc w:val="both"/>
              <w:rPr>
                <w:rFonts w:ascii="Times New Roman" w:hAnsi="Times New Roman" w:cs="Times New Roman"/>
                <w:b/>
                <w:bCs/>
              </w:rPr>
            </w:pPr>
            <w:r w:rsidRPr="004376E2">
              <w:rPr>
                <w:rFonts w:ascii="Times New Roman" w:hAnsi="Times New Roman" w:cs="Times New Roman"/>
                <w:b/>
                <w:bCs/>
              </w:rPr>
              <w:t>2009</w:t>
            </w:r>
          </w:p>
        </w:tc>
      </w:tr>
      <w:tr w:rsidR="007A7E9C" w:rsidRPr="004376E2" w:rsidTr="002E5868">
        <w:trPr>
          <w:gridAfter w:val="2"/>
          <w:wAfter w:w="345" w:type="dxa"/>
          <w:trHeight w:val="255"/>
        </w:trPr>
        <w:tc>
          <w:tcPr>
            <w:tcW w:w="2342" w:type="dxa"/>
            <w:gridSpan w:val="2"/>
            <w:tcBorders>
              <w:top w:val="nil"/>
              <w:left w:val="single" w:sz="8" w:space="0" w:color="auto"/>
              <w:bottom w:val="single" w:sz="4" w:space="0" w:color="auto"/>
              <w:right w:val="single" w:sz="4"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rPr>
            </w:pPr>
            <w:proofErr w:type="spellStart"/>
            <w:r w:rsidRPr="004376E2">
              <w:rPr>
                <w:rFonts w:ascii="Times New Roman" w:hAnsi="Times New Roman" w:cs="Times New Roman"/>
              </w:rPr>
              <w:t>Kamata</w:t>
            </w:r>
            <w:proofErr w:type="spellEnd"/>
          </w:p>
        </w:tc>
        <w:tc>
          <w:tcPr>
            <w:tcW w:w="1829" w:type="dxa"/>
            <w:gridSpan w:val="2"/>
            <w:tcBorders>
              <w:top w:val="nil"/>
              <w:left w:val="single" w:sz="8" w:space="0" w:color="auto"/>
              <w:bottom w:val="single" w:sz="4" w:space="0" w:color="auto"/>
              <w:right w:val="single" w:sz="8"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rPr>
            </w:pPr>
          </w:p>
        </w:tc>
        <w:tc>
          <w:tcPr>
            <w:tcW w:w="1909" w:type="dxa"/>
            <w:gridSpan w:val="3"/>
            <w:tcBorders>
              <w:top w:val="nil"/>
              <w:left w:val="nil"/>
              <w:bottom w:val="single" w:sz="4" w:space="0" w:color="auto"/>
              <w:right w:val="single" w:sz="8"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rPr>
            </w:pPr>
          </w:p>
        </w:tc>
        <w:tc>
          <w:tcPr>
            <w:tcW w:w="2035" w:type="dxa"/>
            <w:gridSpan w:val="2"/>
            <w:tcBorders>
              <w:top w:val="nil"/>
              <w:left w:val="nil"/>
              <w:bottom w:val="single" w:sz="4" w:space="0" w:color="auto"/>
              <w:right w:val="single" w:sz="8"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rPr>
            </w:pPr>
          </w:p>
        </w:tc>
        <w:tc>
          <w:tcPr>
            <w:tcW w:w="1545" w:type="dxa"/>
            <w:gridSpan w:val="2"/>
            <w:tcBorders>
              <w:top w:val="nil"/>
              <w:left w:val="nil"/>
              <w:bottom w:val="single" w:sz="4" w:space="0" w:color="auto"/>
              <w:right w:val="single" w:sz="8"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rPr>
            </w:pPr>
          </w:p>
        </w:tc>
      </w:tr>
      <w:tr w:rsidR="007A7E9C" w:rsidRPr="004376E2" w:rsidTr="002E5868">
        <w:trPr>
          <w:gridAfter w:val="2"/>
          <w:wAfter w:w="345" w:type="dxa"/>
          <w:trHeight w:val="270"/>
        </w:trPr>
        <w:tc>
          <w:tcPr>
            <w:tcW w:w="2342" w:type="dxa"/>
            <w:gridSpan w:val="2"/>
            <w:tcBorders>
              <w:top w:val="nil"/>
              <w:left w:val="single" w:sz="8" w:space="0" w:color="auto"/>
              <w:bottom w:val="single" w:sz="4" w:space="0" w:color="auto"/>
              <w:right w:val="single" w:sz="4"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rPr>
            </w:pPr>
            <w:proofErr w:type="spellStart"/>
            <w:r w:rsidRPr="004376E2">
              <w:rPr>
                <w:rFonts w:ascii="Times New Roman" w:hAnsi="Times New Roman" w:cs="Times New Roman"/>
              </w:rPr>
              <w:t>Otplata</w:t>
            </w:r>
            <w:proofErr w:type="spellEnd"/>
            <w:r w:rsidR="00EC6639">
              <w:rPr>
                <w:rFonts w:ascii="Times New Roman" w:hAnsi="Times New Roman" w:cs="Times New Roman"/>
              </w:rPr>
              <w:t xml:space="preserve"> </w:t>
            </w:r>
            <w:proofErr w:type="spellStart"/>
            <w:r w:rsidRPr="004376E2">
              <w:rPr>
                <w:rFonts w:ascii="Times New Roman" w:hAnsi="Times New Roman" w:cs="Times New Roman"/>
              </w:rPr>
              <w:t>kredita</w:t>
            </w:r>
            <w:proofErr w:type="spellEnd"/>
          </w:p>
        </w:tc>
        <w:tc>
          <w:tcPr>
            <w:tcW w:w="1829" w:type="dxa"/>
            <w:gridSpan w:val="2"/>
            <w:tcBorders>
              <w:top w:val="nil"/>
              <w:left w:val="single" w:sz="8" w:space="0" w:color="auto"/>
              <w:bottom w:val="single" w:sz="4" w:space="0" w:color="auto"/>
              <w:right w:val="single" w:sz="8"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1909" w:type="dxa"/>
            <w:gridSpan w:val="3"/>
            <w:tcBorders>
              <w:top w:val="nil"/>
              <w:left w:val="nil"/>
              <w:bottom w:val="single" w:sz="4" w:space="0" w:color="auto"/>
              <w:right w:val="single" w:sz="8"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rPr>
            </w:pPr>
          </w:p>
        </w:tc>
        <w:tc>
          <w:tcPr>
            <w:tcW w:w="2035" w:type="dxa"/>
            <w:gridSpan w:val="2"/>
            <w:tcBorders>
              <w:top w:val="nil"/>
              <w:left w:val="nil"/>
              <w:bottom w:val="single" w:sz="4" w:space="0" w:color="auto"/>
              <w:right w:val="single" w:sz="8"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rPr>
            </w:pPr>
          </w:p>
        </w:tc>
        <w:tc>
          <w:tcPr>
            <w:tcW w:w="1545" w:type="dxa"/>
            <w:gridSpan w:val="2"/>
            <w:tcBorders>
              <w:top w:val="nil"/>
              <w:left w:val="nil"/>
              <w:bottom w:val="single" w:sz="4" w:space="0" w:color="auto"/>
              <w:right w:val="single" w:sz="8"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rPr>
            </w:pPr>
          </w:p>
        </w:tc>
      </w:tr>
      <w:tr w:rsidR="007A7E9C" w:rsidRPr="004376E2" w:rsidTr="002E5868">
        <w:trPr>
          <w:gridAfter w:val="2"/>
          <w:wAfter w:w="345" w:type="dxa"/>
          <w:trHeight w:val="270"/>
        </w:trPr>
        <w:tc>
          <w:tcPr>
            <w:tcW w:w="2342" w:type="dxa"/>
            <w:gridSpan w:val="2"/>
            <w:tcBorders>
              <w:top w:val="single" w:sz="8" w:space="0" w:color="auto"/>
              <w:left w:val="single" w:sz="8" w:space="0" w:color="auto"/>
              <w:bottom w:val="single" w:sz="8" w:space="0" w:color="auto"/>
              <w:right w:val="single" w:sz="4" w:space="0" w:color="auto"/>
            </w:tcBorders>
            <w:shd w:val="clear" w:color="auto" w:fill="C0C0C0"/>
            <w:noWrap/>
            <w:vAlign w:val="bottom"/>
          </w:tcPr>
          <w:p w:rsidR="007A7E9C" w:rsidRPr="004376E2" w:rsidRDefault="007A7E9C" w:rsidP="00A376B2">
            <w:pPr>
              <w:spacing w:after="0" w:line="240" w:lineRule="auto"/>
              <w:jc w:val="both"/>
              <w:rPr>
                <w:rFonts w:ascii="Times New Roman" w:hAnsi="Times New Roman" w:cs="Times New Roman"/>
                <w:b/>
                <w:bCs/>
              </w:rPr>
            </w:pPr>
            <w:r w:rsidRPr="004376E2">
              <w:rPr>
                <w:rFonts w:ascii="Times New Roman" w:hAnsi="Times New Roman" w:cs="Times New Roman"/>
                <w:b/>
                <w:bCs/>
              </w:rPr>
              <w:t>UKUPNO</w:t>
            </w:r>
          </w:p>
        </w:tc>
        <w:tc>
          <w:tcPr>
            <w:tcW w:w="1829" w:type="dxa"/>
            <w:gridSpan w:val="2"/>
            <w:tcBorders>
              <w:top w:val="single" w:sz="8" w:space="0" w:color="auto"/>
              <w:left w:val="single" w:sz="8" w:space="0" w:color="auto"/>
              <w:bottom w:val="single" w:sz="8" w:space="0" w:color="auto"/>
              <w:right w:val="single" w:sz="8" w:space="0" w:color="auto"/>
            </w:tcBorders>
            <w:shd w:val="clear" w:color="auto" w:fill="C0C0C0"/>
            <w:noWrap/>
            <w:vAlign w:val="bottom"/>
          </w:tcPr>
          <w:p w:rsidR="007A7E9C" w:rsidRPr="004376E2" w:rsidRDefault="007A7E9C" w:rsidP="00A376B2">
            <w:pPr>
              <w:spacing w:after="0" w:line="240" w:lineRule="auto"/>
              <w:jc w:val="both"/>
              <w:rPr>
                <w:rFonts w:ascii="Times New Roman" w:hAnsi="Times New Roman" w:cs="Times New Roman"/>
                <w:b/>
                <w:bCs/>
              </w:rPr>
            </w:pPr>
          </w:p>
        </w:tc>
        <w:tc>
          <w:tcPr>
            <w:tcW w:w="1909" w:type="dxa"/>
            <w:gridSpan w:val="3"/>
            <w:tcBorders>
              <w:top w:val="single" w:sz="8" w:space="0" w:color="auto"/>
              <w:left w:val="nil"/>
              <w:bottom w:val="single" w:sz="8" w:space="0" w:color="auto"/>
              <w:right w:val="single" w:sz="8" w:space="0" w:color="auto"/>
            </w:tcBorders>
            <w:shd w:val="clear" w:color="auto" w:fill="C0C0C0"/>
            <w:noWrap/>
            <w:vAlign w:val="bottom"/>
          </w:tcPr>
          <w:p w:rsidR="007A7E9C" w:rsidRPr="004376E2" w:rsidRDefault="007A7E9C" w:rsidP="00A376B2">
            <w:pPr>
              <w:spacing w:after="0" w:line="240" w:lineRule="auto"/>
              <w:jc w:val="both"/>
              <w:rPr>
                <w:rFonts w:ascii="Times New Roman" w:hAnsi="Times New Roman" w:cs="Times New Roman"/>
                <w:b/>
                <w:bCs/>
              </w:rPr>
            </w:pPr>
          </w:p>
        </w:tc>
        <w:tc>
          <w:tcPr>
            <w:tcW w:w="2035" w:type="dxa"/>
            <w:gridSpan w:val="2"/>
            <w:tcBorders>
              <w:top w:val="single" w:sz="8" w:space="0" w:color="auto"/>
              <w:left w:val="nil"/>
              <w:bottom w:val="single" w:sz="8" w:space="0" w:color="auto"/>
              <w:right w:val="single" w:sz="8" w:space="0" w:color="auto"/>
            </w:tcBorders>
            <w:shd w:val="clear" w:color="auto" w:fill="C0C0C0"/>
            <w:noWrap/>
            <w:vAlign w:val="bottom"/>
          </w:tcPr>
          <w:p w:rsidR="007A7E9C" w:rsidRPr="004376E2" w:rsidRDefault="007A7E9C" w:rsidP="00A376B2">
            <w:pPr>
              <w:spacing w:after="0" w:line="240" w:lineRule="auto"/>
              <w:jc w:val="both"/>
              <w:rPr>
                <w:rFonts w:ascii="Times New Roman" w:hAnsi="Times New Roman" w:cs="Times New Roman"/>
                <w:b/>
                <w:bCs/>
              </w:rPr>
            </w:pPr>
          </w:p>
        </w:tc>
        <w:tc>
          <w:tcPr>
            <w:tcW w:w="1545" w:type="dxa"/>
            <w:gridSpan w:val="2"/>
            <w:tcBorders>
              <w:top w:val="single" w:sz="8" w:space="0" w:color="auto"/>
              <w:left w:val="nil"/>
              <w:bottom w:val="single" w:sz="8" w:space="0" w:color="auto"/>
              <w:right w:val="single" w:sz="8" w:space="0" w:color="auto"/>
            </w:tcBorders>
            <w:shd w:val="clear" w:color="auto" w:fill="C0C0C0"/>
            <w:noWrap/>
            <w:vAlign w:val="bottom"/>
          </w:tcPr>
          <w:p w:rsidR="007A7E9C" w:rsidRPr="004376E2" w:rsidRDefault="007A7E9C" w:rsidP="00A376B2">
            <w:pPr>
              <w:spacing w:after="0" w:line="240" w:lineRule="auto"/>
              <w:jc w:val="both"/>
              <w:rPr>
                <w:rFonts w:ascii="Times New Roman" w:hAnsi="Times New Roman" w:cs="Times New Roman"/>
                <w:b/>
                <w:bCs/>
              </w:rPr>
            </w:pPr>
          </w:p>
        </w:tc>
      </w:tr>
      <w:tr w:rsidR="007A7E9C" w:rsidRPr="004376E2" w:rsidTr="002E5868">
        <w:trPr>
          <w:gridAfter w:val="1"/>
          <w:wAfter w:w="270" w:type="dxa"/>
          <w:trHeight w:val="270"/>
        </w:trPr>
        <w:tc>
          <w:tcPr>
            <w:tcW w:w="8115" w:type="dxa"/>
            <w:gridSpan w:val="9"/>
            <w:tcBorders>
              <w:top w:val="nil"/>
              <w:left w:val="nil"/>
              <w:bottom w:val="single" w:sz="8" w:space="0" w:color="auto"/>
              <w:right w:val="nil"/>
            </w:tcBorders>
            <w:shd w:val="clear" w:color="auto" w:fill="auto"/>
            <w:noWrap/>
            <w:vAlign w:val="bottom"/>
          </w:tcPr>
          <w:p w:rsidR="00EC6639" w:rsidRDefault="00EC6639" w:rsidP="00EC6639">
            <w:pPr>
              <w:spacing w:after="0" w:line="240" w:lineRule="auto"/>
              <w:jc w:val="both"/>
              <w:rPr>
                <w:rFonts w:ascii="Times New Roman" w:hAnsi="Times New Roman" w:cs="Times New Roman"/>
                <w:b/>
                <w:bCs/>
                <w:lang w:val="pl-PL"/>
              </w:rPr>
            </w:pPr>
          </w:p>
          <w:p w:rsidR="007A7E9C" w:rsidRPr="004376E2" w:rsidRDefault="00EC6639" w:rsidP="00EC6639">
            <w:pPr>
              <w:spacing w:after="0" w:line="240" w:lineRule="auto"/>
              <w:jc w:val="both"/>
              <w:rPr>
                <w:rFonts w:ascii="Times New Roman" w:hAnsi="Times New Roman" w:cs="Times New Roman"/>
                <w:b/>
                <w:bCs/>
                <w:lang w:val="pl-PL"/>
              </w:rPr>
            </w:pPr>
            <w:r w:rsidRPr="004376E2">
              <w:rPr>
                <w:rFonts w:ascii="Times New Roman" w:hAnsi="Times New Roman" w:cs="Times New Roman"/>
                <w:b/>
                <w:bCs/>
                <w:lang w:val="pl-PL"/>
              </w:rPr>
              <w:t>Kratkoročne i dugor</w:t>
            </w:r>
            <w:r>
              <w:rPr>
                <w:rFonts w:ascii="Times New Roman" w:hAnsi="Times New Roman" w:cs="Times New Roman"/>
                <w:b/>
                <w:bCs/>
                <w:lang w:val="pl-PL"/>
              </w:rPr>
              <w:t>očne obaveze po osnovu glavnice</w:t>
            </w:r>
            <w:r w:rsidRPr="004376E2">
              <w:rPr>
                <w:rFonts w:ascii="Times New Roman" w:hAnsi="Times New Roman" w:cs="Times New Roman"/>
                <w:b/>
                <w:bCs/>
                <w:lang w:val="pl-PL"/>
              </w:rPr>
              <w:t xml:space="preserve"> na kraju godine (metod</w:t>
            </w:r>
            <w:r>
              <w:rPr>
                <w:rFonts w:ascii="Times New Roman" w:hAnsi="Times New Roman" w:cs="Times New Roman"/>
                <w:b/>
                <w:bCs/>
                <w:lang w:val="pl-PL"/>
              </w:rPr>
              <w:t xml:space="preserve"> </w:t>
            </w:r>
            <w:r w:rsidRPr="004376E2">
              <w:rPr>
                <w:rFonts w:ascii="Times New Roman" w:hAnsi="Times New Roman" w:cs="Times New Roman"/>
                <w:b/>
                <w:bCs/>
                <w:lang w:val="pl-PL"/>
              </w:rPr>
              <w:t>jednakih otplata)</w:t>
            </w:r>
          </w:p>
        </w:tc>
        <w:tc>
          <w:tcPr>
            <w:tcW w:w="1620" w:type="dxa"/>
            <w:gridSpan w:val="3"/>
            <w:tcBorders>
              <w:top w:val="nil"/>
              <w:left w:val="nil"/>
              <w:bottom w:val="nil"/>
              <w:right w:val="nil"/>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b/>
                <w:bCs/>
              </w:rPr>
            </w:pPr>
            <w:r w:rsidRPr="004376E2">
              <w:rPr>
                <w:rFonts w:ascii="Times New Roman" w:hAnsi="Times New Roman" w:cs="Times New Roman"/>
                <w:b/>
                <w:bCs/>
              </w:rPr>
              <w:t xml:space="preserve">u EUR </w:t>
            </w:r>
          </w:p>
        </w:tc>
      </w:tr>
      <w:tr w:rsidR="007A7E9C" w:rsidRPr="004376E2" w:rsidTr="002E5868">
        <w:trPr>
          <w:gridAfter w:val="1"/>
          <w:wAfter w:w="270" w:type="dxa"/>
          <w:trHeight w:val="270"/>
        </w:trPr>
        <w:tc>
          <w:tcPr>
            <w:tcW w:w="3795" w:type="dxa"/>
            <w:gridSpan w:val="3"/>
            <w:tcBorders>
              <w:top w:val="nil"/>
              <w:left w:val="single" w:sz="8" w:space="0" w:color="auto"/>
              <w:bottom w:val="single" w:sz="8" w:space="0" w:color="auto"/>
              <w:right w:val="single" w:sz="8" w:space="0" w:color="auto"/>
            </w:tcBorders>
            <w:shd w:val="clear" w:color="9999FF" w:fill="C0C0C0"/>
            <w:noWrap/>
            <w:vAlign w:val="bottom"/>
          </w:tcPr>
          <w:p w:rsidR="007A7E9C" w:rsidRPr="004376E2" w:rsidRDefault="007A7E9C" w:rsidP="00A376B2">
            <w:pPr>
              <w:spacing w:after="0" w:line="240" w:lineRule="auto"/>
              <w:jc w:val="both"/>
              <w:rPr>
                <w:rFonts w:ascii="Times New Roman" w:hAnsi="Times New Roman" w:cs="Times New Roman"/>
                <w:b/>
                <w:bCs/>
                <w:i/>
                <w:iCs/>
              </w:rPr>
            </w:pPr>
            <w:proofErr w:type="spellStart"/>
            <w:r w:rsidRPr="004376E2">
              <w:rPr>
                <w:rFonts w:ascii="Times New Roman" w:hAnsi="Times New Roman" w:cs="Times New Roman"/>
                <w:b/>
                <w:bCs/>
                <w:i/>
                <w:iCs/>
              </w:rPr>
              <w:t>Ročnost</w:t>
            </w:r>
            <w:proofErr w:type="spellEnd"/>
            <w:r w:rsidR="005D5D64">
              <w:rPr>
                <w:rFonts w:ascii="Times New Roman" w:hAnsi="Times New Roman" w:cs="Times New Roman"/>
                <w:b/>
                <w:bCs/>
                <w:i/>
                <w:iCs/>
              </w:rPr>
              <w:t xml:space="preserve"> </w:t>
            </w:r>
            <w:proofErr w:type="spellStart"/>
            <w:r w:rsidRPr="004376E2">
              <w:rPr>
                <w:rFonts w:ascii="Times New Roman" w:hAnsi="Times New Roman" w:cs="Times New Roman"/>
                <w:b/>
                <w:bCs/>
                <w:i/>
                <w:iCs/>
              </w:rPr>
              <w:t>obaveze</w:t>
            </w:r>
            <w:proofErr w:type="spellEnd"/>
          </w:p>
        </w:tc>
        <w:tc>
          <w:tcPr>
            <w:tcW w:w="1371" w:type="dxa"/>
            <w:gridSpan w:val="3"/>
            <w:tcBorders>
              <w:top w:val="nil"/>
              <w:left w:val="nil"/>
              <w:bottom w:val="single" w:sz="8" w:space="0" w:color="auto"/>
              <w:right w:val="single" w:sz="8" w:space="0" w:color="auto"/>
            </w:tcBorders>
            <w:shd w:val="clear" w:color="auto" w:fill="C0C0C0"/>
            <w:noWrap/>
            <w:vAlign w:val="bottom"/>
          </w:tcPr>
          <w:p w:rsidR="007A7E9C" w:rsidRPr="004376E2" w:rsidRDefault="007A7E9C" w:rsidP="00A376B2">
            <w:pPr>
              <w:spacing w:after="0" w:line="240" w:lineRule="auto"/>
              <w:jc w:val="both"/>
              <w:rPr>
                <w:rFonts w:ascii="Times New Roman" w:hAnsi="Times New Roman" w:cs="Times New Roman"/>
                <w:b/>
                <w:bCs/>
                <w:i/>
                <w:iCs/>
              </w:rPr>
            </w:pPr>
            <w:r w:rsidRPr="004376E2">
              <w:rPr>
                <w:rFonts w:ascii="Times New Roman" w:hAnsi="Times New Roman" w:cs="Times New Roman"/>
                <w:b/>
                <w:bCs/>
                <w:i/>
                <w:iCs/>
              </w:rPr>
              <w:t>2005</w:t>
            </w:r>
          </w:p>
        </w:tc>
        <w:tc>
          <w:tcPr>
            <w:tcW w:w="1509" w:type="dxa"/>
            <w:gridSpan w:val="2"/>
            <w:tcBorders>
              <w:top w:val="nil"/>
              <w:left w:val="nil"/>
              <w:bottom w:val="single" w:sz="8" w:space="0" w:color="auto"/>
              <w:right w:val="single" w:sz="8" w:space="0" w:color="auto"/>
            </w:tcBorders>
            <w:shd w:val="clear" w:color="auto" w:fill="C0C0C0"/>
            <w:noWrap/>
            <w:vAlign w:val="bottom"/>
          </w:tcPr>
          <w:p w:rsidR="007A7E9C" w:rsidRPr="004376E2" w:rsidRDefault="007A7E9C" w:rsidP="00A376B2">
            <w:pPr>
              <w:spacing w:after="0" w:line="240" w:lineRule="auto"/>
              <w:jc w:val="both"/>
              <w:rPr>
                <w:rFonts w:ascii="Times New Roman" w:hAnsi="Times New Roman" w:cs="Times New Roman"/>
                <w:b/>
                <w:bCs/>
                <w:i/>
                <w:iCs/>
              </w:rPr>
            </w:pPr>
            <w:r w:rsidRPr="004376E2">
              <w:rPr>
                <w:rFonts w:ascii="Times New Roman" w:hAnsi="Times New Roman" w:cs="Times New Roman"/>
                <w:b/>
                <w:bCs/>
                <w:i/>
                <w:iCs/>
              </w:rPr>
              <w:t>2006</w:t>
            </w:r>
          </w:p>
        </w:tc>
        <w:tc>
          <w:tcPr>
            <w:tcW w:w="1440" w:type="dxa"/>
            <w:tcBorders>
              <w:top w:val="nil"/>
              <w:left w:val="nil"/>
              <w:bottom w:val="single" w:sz="8" w:space="0" w:color="auto"/>
              <w:right w:val="single" w:sz="8" w:space="0" w:color="auto"/>
            </w:tcBorders>
            <w:shd w:val="clear" w:color="auto" w:fill="C0C0C0"/>
            <w:noWrap/>
            <w:vAlign w:val="bottom"/>
          </w:tcPr>
          <w:p w:rsidR="007A7E9C" w:rsidRPr="004376E2" w:rsidRDefault="007A7E9C" w:rsidP="00A376B2">
            <w:pPr>
              <w:spacing w:after="0" w:line="240" w:lineRule="auto"/>
              <w:jc w:val="both"/>
              <w:rPr>
                <w:rFonts w:ascii="Times New Roman" w:hAnsi="Times New Roman" w:cs="Times New Roman"/>
                <w:b/>
                <w:bCs/>
                <w:i/>
                <w:iCs/>
              </w:rPr>
            </w:pPr>
            <w:r w:rsidRPr="004376E2">
              <w:rPr>
                <w:rFonts w:ascii="Times New Roman" w:hAnsi="Times New Roman" w:cs="Times New Roman"/>
                <w:b/>
                <w:bCs/>
                <w:i/>
                <w:iCs/>
              </w:rPr>
              <w:t>2007</w:t>
            </w:r>
          </w:p>
        </w:tc>
        <w:tc>
          <w:tcPr>
            <w:tcW w:w="1620" w:type="dxa"/>
            <w:gridSpan w:val="3"/>
            <w:tcBorders>
              <w:top w:val="single" w:sz="8" w:space="0" w:color="auto"/>
              <w:left w:val="nil"/>
              <w:bottom w:val="single" w:sz="8" w:space="0" w:color="auto"/>
              <w:right w:val="single" w:sz="8" w:space="0" w:color="auto"/>
            </w:tcBorders>
            <w:shd w:val="clear" w:color="auto" w:fill="C0C0C0"/>
            <w:noWrap/>
            <w:vAlign w:val="bottom"/>
          </w:tcPr>
          <w:p w:rsidR="007A7E9C" w:rsidRPr="004376E2" w:rsidRDefault="007A7E9C" w:rsidP="00A376B2">
            <w:pPr>
              <w:spacing w:after="0" w:line="240" w:lineRule="auto"/>
              <w:jc w:val="both"/>
              <w:rPr>
                <w:rFonts w:ascii="Times New Roman" w:hAnsi="Times New Roman" w:cs="Times New Roman"/>
                <w:b/>
                <w:bCs/>
                <w:i/>
                <w:iCs/>
              </w:rPr>
            </w:pPr>
            <w:r w:rsidRPr="004376E2">
              <w:rPr>
                <w:rFonts w:ascii="Times New Roman" w:hAnsi="Times New Roman" w:cs="Times New Roman"/>
                <w:b/>
                <w:bCs/>
                <w:i/>
                <w:iCs/>
              </w:rPr>
              <w:t>2008</w:t>
            </w:r>
          </w:p>
        </w:tc>
      </w:tr>
      <w:tr w:rsidR="007A7E9C" w:rsidRPr="004376E2" w:rsidTr="002E5868">
        <w:trPr>
          <w:gridAfter w:val="1"/>
          <w:wAfter w:w="270" w:type="dxa"/>
          <w:trHeight w:val="255"/>
        </w:trPr>
        <w:tc>
          <w:tcPr>
            <w:tcW w:w="3795" w:type="dxa"/>
            <w:gridSpan w:val="3"/>
            <w:tcBorders>
              <w:top w:val="nil"/>
              <w:left w:val="single" w:sz="8" w:space="0" w:color="auto"/>
              <w:bottom w:val="single" w:sz="4" w:space="0" w:color="auto"/>
              <w:right w:val="single" w:sz="4"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lang w:val="pl-PL"/>
              </w:rPr>
            </w:pPr>
            <w:r w:rsidRPr="004376E2">
              <w:rPr>
                <w:rFonts w:ascii="Times New Roman" w:hAnsi="Times New Roman" w:cs="Times New Roman"/>
                <w:lang w:val="pl-PL"/>
              </w:rPr>
              <w:t>Obaveze koje dospevaju naredne godine</w:t>
            </w:r>
          </w:p>
        </w:tc>
        <w:tc>
          <w:tcPr>
            <w:tcW w:w="1371" w:type="dxa"/>
            <w:gridSpan w:val="3"/>
            <w:tcBorders>
              <w:top w:val="nil"/>
              <w:left w:val="single" w:sz="8" w:space="0" w:color="auto"/>
              <w:bottom w:val="single" w:sz="4" w:space="0" w:color="auto"/>
              <w:right w:val="single" w:sz="8"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rPr>
            </w:pPr>
            <w:r w:rsidRPr="004376E2">
              <w:rPr>
                <w:rFonts w:ascii="Times New Roman" w:hAnsi="Times New Roman" w:cs="Times New Roman"/>
              </w:rPr>
              <w:t xml:space="preserve">0.00    </w:t>
            </w:r>
          </w:p>
        </w:tc>
        <w:tc>
          <w:tcPr>
            <w:tcW w:w="1509" w:type="dxa"/>
            <w:gridSpan w:val="2"/>
            <w:tcBorders>
              <w:top w:val="nil"/>
              <w:left w:val="nil"/>
              <w:bottom w:val="single" w:sz="4" w:space="0" w:color="auto"/>
              <w:right w:val="single" w:sz="8"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rPr>
            </w:pPr>
          </w:p>
        </w:tc>
        <w:tc>
          <w:tcPr>
            <w:tcW w:w="1440" w:type="dxa"/>
            <w:tcBorders>
              <w:top w:val="nil"/>
              <w:left w:val="nil"/>
              <w:bottom w:val="single" w:sz="4" w:space="0" w:color="auto"/>
              <w:right w:val="single" w:sz="8"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rPr>
            </w:pPr>
          </w:p>
        </w:tc>
        <w:tc>
          <w:tcPr>
            <w:tcW w:w="1620" w:type="dxa"/>
            <w:gridSpan w:val="3"/>
            <w:tcBorders>
              <w:top w:val="nil"/>
              <w:left w:val="nil"/>
              <w:bottom w:val="single" w:sz="4" w:space="0" w:color="auto"/>
              <w:right w:val="single" w:sz="8"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rPr>
            </w:pPr>
          </w:p>
        </w:tc>
      </w:tr>
      <w:tr w:rsidR="007A7E9C" w:rsidRPr="004376E2" w:rsidTr="002E5868">
        <w:trPr>
          <w:gridAfter w:val="1"/>
          <w:wAfter w:w="270" w:type="dxa"/>
          <w:trHeight w:val="270"/>
        </w:trPr>
        <w:tc>
          <w:tcPr>
            <w:tcW w:w="3795" w:type="dxa"/>
            <w:gridSpan w:val="3"/>
            <w:tcBorders>
              <w:top w:val="nil"/>
              <w:left w:val="single" w:sz="8" w:space="0" w:color="auto"/>
              <w:bottom w:val="single" w:sz="4" w:space="0" w:color="auto"/>
              <w:right w:val="single" w:sz="4"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rPr>
            </w:pPr>
            <w:proofErr w:type="spellStart"/>
            <w:r w:rsidRPr="004376E2">
              <w:rPr>
                <w:rFonts w:ascii="Times New Roman" w:hAnsi="Times New Roman" w:cs="Times New Roman"/>
              </w:rPr>
              <w:t>Dugoročne</w:t>
            </w:r>
            <w:proofErr w:type="spellEnd"/>
            <w:r w:rsidR="00EC6639">
              <w:rPr>
                <w:rFonts w:ascii="Times New Roman" w:hAnsi="Times New Roman" w:cs="Times New Roman"/>
              </w:rPr>
              <w:t xml:space="preserve"> </w:t>
            </w:r>
            <w:proofErr w:type="spellStart"/>
            <w:r w:rsidRPr="004376E2">
              <w:rPr>
                <w:rFonts w:ascii="Times New Roman" w:hAnsi="Times New Roman" w:cs="Times New Roman"/>
              </w:rPr>
              <w:t>obaveze</w:t>
            </w:r>
            <w:proofErr w:type="spellEnd"/>
          </w:p>
        </w:tc>
        <w:tc>
          <w:tcPr>
            <w:tcW w:w="1371" w:type="dxa"/>
            <w:gridSpan w:val="3"/>
            <w:tcBorders>
              <w:top w:val="nil"/>
              <w:left w:val="single" w:sz="8" w:space="0" w:color="auto"/>
              <w:bottom w:val="single" w:sz="4" w:space="0" w:color="auto"/>
              <w:right w:val="single" w:sz="8"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rPr>
            </w:pPr>
            <w:r w:rsidRPr="004376E2">
              <w:rPr>
                <w:rFonts w:ascii="Times New Roman" w:hAnsi="Times New Roman" w:cs="Times New Roman"/>
              </w:rPr>
              <w:t xml:space="preserve">1,024,404.42    </w:t>
            </w:r>
          </w:p>
        </w:tc>
        <w:tc>
          <w:tcPr>
            <w:tcW w:w="1509" w:type="dxa"/>
            <w:gridSpan w:val="2"/>
            <w:tcBorders>
              <w:top w:val="nil"/>
              <w:left w:val="nil"/>
              <w:bottom w:val="single" w:sz="4" w:space="0" w:color="auto"/>
              <w:right w:val="single" w:sz="8"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rPr>
            </w:pPr>
          </w:p>
        </w:tc>
        <w:tc>
          <w:tcPr>
            <w:tcW w:w="1440" w:type="dxa"/>
            <w:tcBorders>
              <w:top w:val="nil"/>
              <w:left w:val="nil"/>
              <w:bottom w:val="single" w:sz="4" w:space="0" w:color="auto"/>
              <w:right w:val="single" w:sz="8"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rPr>
            </w:pPr>
          </w:p>
        </w:tc>
        <w:tc>
          <w:tcPr>
            <w:tcW w:w="1620" w:type="dxa"/>
            <w:gridSpan w:val="3"/>
            <w:tcBorders>
              <w:top w:val="nil"/>
              <w:left w:val="nil"/>
              <w:bottom w:val="single" w:sz="4" w:space="0" w:color="auto"/>
              <w:right w:val="single" w:sz="8" w:space="0" w:color="auto"/>
            </w:tcBorders>
            <w:shd w:val="clear" w:color="auto" w:fill="auto"/>
            <w:noWrap/>
            <w:vAlign w:val="bottom"/>
          </w:tcPr>
          <w:p w:rsidR="007A7E9C" w:rsidRPr="004376E2" w:rsidRDefault="007A7E9C" w:rsidP="00A376B2">
            <w:pPr>
              <w:spacing w:after="0" w:line="240" w:lineRule="auto"/>
              <w:jc w:val="both"/>
              <w:rPr>
                <w:rFonts w:ascii="Times New Roman" w:hAnsi="Times New Roman" w:cs="Times New Roman"/>
              </w:rPr>
            </w:pPr>
          </w:p>
        </w:tc>
      </w:tr>
      <w:tr w:rsidR="007A7E9C" w:rsidRPr="004376E2" w:rsidTr="002E5868">
        <w:trPr>
          <w:gridAfter w:val="1"/>
          <w:wAfter w:w="270" w:type="dxa"/>
          <w:trHeight w:val="270"/>
        </w:trPr>
        <w:tc>
          <w:tcPr>
            <w:tcW w:w="3795" w:type="dxa"/>
            <w:gridSpan w:val="3"/>
            <w:tcBorders>
              <w:top w:val="single" w:sz="8" w:space="0" w:color="auto"/>
              <w:left w:val="single" w:sz="8" w:space="0" w:color="auto"/>
              <w:bottom w:val="single" w:sz="8" w:space="0" w:color="auto"/>
              <w:right w:val="single" w:sz="4" w:space="0" w:color="auto"/>
            </w:tcBorders>
            <w:shd w:val="clear" w:color="auto" w:fill="C0C0C0"/>
            <w:noWrap/>
            <w:vAlign w:val="bottom"/>
          </w:tcPr>
          <w:p w:rsidR="007A7E9C" w:rsidRPr="004376E2" w:rsidRDefault="007A7E9C" w:rsidP="00A376B2">
            <w:pPr>
              <w:spacing w:after="0" w:line="240" w:lineRule="auto"/>
              <w:jc w:val="both"/>
              <w:rPr>
                <w:rFonts w:ascii="Times New Roman" w:hAnsi="Times New Roman" w:cs="Times New Roman"/>
                <w:b/>
                <w:bCs/>
              </w:rPr>
            </w:pPr>
            <w:r w:rsidRPr="004376E2">
              <w:rPr>
                <w:rFonts w:ascii="Times New Roman" w:hAnsi="Times New Roman" w:cs="Times New Roman"/>
                <w:b/>
                <w:bCs/>
              </w:rPr>
              <w:t>UKUPNO</w:t>
            </w:r>
          </w:p>
        </w:tc>
        <w:tc>
          <w:tcPr>
            <w:tcW w:w="1371" w:type="dxa"/>
            <w:gridSpan w:val="3"/>
            <w:tcBorders>
              <w:top w:val="single" w:sz="8" w:space="0" w:color="auto"/>
              <w:left w:val="single" w:sz="8" w:space="0" w:color="auto"/>
              <w:bottom w:val="single" w:sz="8" w:space="0" w:color="auto"/>
              <w:right w:val="single" w:sz="8" w:space="0" w:color="auto"/>
            </w:tcBorders>
            <w:shd w:val="clear" w:color="auto" w:fill="C0C0C0"/>
            <w:noWrap/>
            <w:vAlign w:val="bottom"/>
          </w:tcPr>
          <w:p w:rsidR="007A7E9C" w:rsidRPr="004376E2" w:rsidRDefault="007A7E9C" w:rsidP="00A376B2">
            <w:pPr>
              <w:spacing w:after="0" w:line="240" w:lineRule="auto"/>
              <w:jc w:val="both"/>
              <w:rPr>
                <w:rFonts w:ascii="Times New Roman" w:hAnsi="Times New Roman" w:cs="Times New Roman"/>
                <w:b/>
                <w:bCs/>
              </w:rPr>
            </w:pPr>
            <w:r w:rsidRPr="004376E2">
              <w:rPr>
                <w:rFonts w:ascii="Times New Roman" w:hAnsi="Times New Roman" w:cs="Times New Roman"/>
                <w:b/>
                <w:bCs/>
              </w:rPr>
              <w:t xml:space="preserve">1,024,404.42    </w:t>
            </w:r>
          </w:p>
        </w:tc>
        <w:tc>
          <w:tcPr>
            <w:tcW w:w="1509" w:type="dxa"/>
            <w:gridSpan w:val="2"/>
            <w:tcBorders>
              <w:top w:val="single" w:sz="8" w:space="0" w:color="auto"/>
              <w:left w:val="nil"/>
              <w:bottom w:val="single" w:sz="8" w:space="0" w:color="auto"/>
              <w:right w:val="single" w:sz="8" w:space="0" w:color="auto"/>
            </w:tcBorders>
            <w:shd w:val="clear" w:color="auto" w:fill="C0C0C0"/>
            <w:noWrap/>
            <w:vAlign w:val="bottom"/>
          </w:tcPr>
          <w:p w:rsidR="007A7E9C" w:rsidRPr="004376E2" w:rsidRDefault="007A7E9C" w:rsidP="00A376B2">
            <w:pPr>
              <w:spacing w:after="0" w:line="240" w:lineRule="auto"/>
              <w:jc w:val="both"/>
              <w:rPr>
                <w:rFonts w:ascii="Times New Roman" w:hAnsi="Times New Roman" w:cs="Times New Roman"/>
                <w:b/>
                <w:bCs/>
              </w:rPr>
            </w:pPr>
          </w:p>
        </w:tc>
        <w:tc>
          <w:tcPr>
            <w:tcW w:w="1440" w:type="dxa"/>
            <w:tcBorders>
              <w:top w:val="single" w:sz="8" w:space="0" w:color="auto"/>
              <w:left w:val="nil"/>
              <w:bottom w:val="single" w:sz="8" w:space="0" w:color="auto"/>
              <w:right w:val="single" w:sz="8" w:space="0" w:color="auto"/>
            </w:tcBorders>
            <w:shd w:val="clear" w:color="auto" w:fill="C0C0C0"/>
            <w:noWrap/>
            <w:vAlign w:val="bottom"/>
          </w:tcPr>
          <w:p w:rsidR="007A7E9C" w:rsidRPr="004376E2" w:rsidRDefault="007A7E9C" w:rsidP="00A376B2">
            <w:pPr>
              <w:spacing w:after="0" w:line="240" w:lineRule="auto"/>
              <w:jc w:val="both"/>
              <w:rPr>
                <w:rFonts w:ascii="Times New Roman" w:hAnsi="Times New Roman" w:cs="Times New Roman"/>
                <w:b/>
                <w:bCs/>
              </w:rPr>
            </w:pPr>
          </w:p>
        </w:tc>
        <w:tc>
          <w:tcPr>
            <w:tcW w:w="1620" w:type="dxa"/>
            <w:gridSpan w:val="3"/>
            <w:tcBorders>
              <w:top w:val="single" w:sz="8" w:space="0" w:color="auto"/>
              <w:left w:val="nil"/>
              <w:bottom w:val="single" w:sz="8" w:space="0" w:color="auto"/>
              <w:right w:val="single" w:sz="8" w:space="0" w:color="auto"/>
            </w:tcBorders>
            <w:shd w:val="clear" w:color="auto" w:fill="C0C0C0"/>
            <w:noWrap/>
            <w:vAlign w:val="bottom"/>
          </w:tcPr>
          <w:p w:rsidR="007A7E9C" w:rsidRPr="004376E2" w:rsidRDefault="007A7E9C" w:rsidP="00A376B2">
            <w:pPr>
              <w:spacing w:after="0" w:line="240" w:lineRule="auto"/>
              <w:jc w:val="both"/>
              <w:rPr>
                <w:rFonts w:ascii="Times New Roman" w:hAnsi="Times New Roman" w:cs="Times New Roman"/>
                <w:b/>
                <w:bCs/>
              </w:rPr>
            </w:pPr>
          </w:p>
        </w:tc>
      </w:tr>
    </w:tbl>
    <w:p w:rsidR="00EC6639" w:rsidRDefault="00EC6639" w:rsidP="00EC6639">
      <w:pPr>
        <w:spacing w:after="0" w:line="240" w:lineRule="auto"/>
        <w:jc w:val="both"/>
        <w:rPr>
          <w:rFonts w:ascii="Times New Roman" w:hAnsi="Times New Roman" w:cs="Times New Roman"/>
          <w:b/>
          <w:lang w:val="sr-Latn-CS"/>
        </w:rPr>
      </w:pPr>
    </w:p>
    <w:p w:rsidR="007B576D" w:rsidRPr="004376E2" w:rsidRDefault="007A7E9C" w:rsidP="007B576D">
      <w:pPr>
        <w:spacing w:line="240" w:lineRule="auto"/>
        <w:jc w:val="both"/>
        <w:rPr>
          <w:rFonts w:ascii="Times New Roman" w:hAnsi="Times New Roman" w:cs="Times New Roman"/>
          <w:b/>
          <w:lang w:val="sr-Latn-CS"/>
        </w:rPr>
      </w:pPr>
      <w:r>
        <w:rPr>
          <w:rFonts w:ascii="Times New Roman" w:hAnsi="Times New Roman" w:cs="Times New Roman"/>
          <w:b/>
          <w:lang w:val="sr-Latn-CS"/>
        </w:rPr>
        <w:t>Metod</w:t>
      </w:r>
      <w:r w:rsidR="007B576D" w:rsidRPr="004376E2">
        <w:rPr>
          <w:rFonts w:ascii="Times New Roman" w:hAnsi="Times New Roman" w:cs="Times New Roman"/>
          <w:b/>
          <w:lang w:val="sr-Latn-CS"/>
        </w:rPr>
        <w:t xml:space="preserve"> jednakih </w:t>
      </w:r>
      <w:r>
        <w:rPr>
          <w:rFonts w:ascii="Times New Roman" w:hAnsi="Times New Roman" w:cs="Times New Roman"/>
          <w:b/>
          <w:lang w:val="sr-Latn-CS"/>
        </w:rPr>
        <w:t>anuiteta</w:t>
      </w:r>
    </w:p>
    <w:p w:rsidR="007B576D" w:rsidRPr="004376E2" w:rsidRDefault="005D5D64" w:rsidP="007B576D">
      <w:pPr>
        <w:spacing w:line="240" w:lineRule="auto"/>
        <w:jc w:val="both"/>
        <w:rPr>
          <w:rFonts w:ascii="Times New Roman" w:hAnsi="Times New Roman" w:cs="Times New Roman"/>
          <w:lang w:val="sr-Latn-CS"/>
        </w:rPr>
      </w:pPr>
      <w:r w:rsidRPr="007A7E9C">
        <w:rPr>
          <w:rFonts w:ascii="Times New Roman" w:hAnsi="Times New Roman" w:cs="Times New Roman"/>
          <w:position w:val="-28"/>
          <w:lang w:val="sr-Latn-CS"/>
        </w:rPr>
        <w:object w:dxaOrig="6180" w:dyaOrig="700">
          <v:shape id="_x0000_i1027" type="#_x0000_t75" style="width:309.15pt;height:35.15pt" o:ole="">
            <v:imagedata r:id="rId9" o:title=""/>
          </v:shape>
          <o:OLEObject Type="Embed" ProgID="Equation.3" ShapeID="_x0000_i1027" DrawAspect="Content" ObjectID="_1608908611" r:id="rId10"/>
        </w:object>
      </w:r>
    </w:p>
    <w:tbl>
      <w:tblPr>
        <w:tblW w:w="9995" w:type="dxa"/>
        <w:tblInd w:w="93" w:type="dxa"/>
        <w:tblLook w:val="0000"/>
      </w:tblPr>
      <w:tblGrid>
        <w:gridCol w:w="1815"/>
        <w:gridCol w:w="425"/>
        <w:gridCol w:w="1645"/>
        <w:gridCol w:w="217"/>
        <w:gridCol w:w="608"/>
        <w:gridCol w:w="547"/>
        <w:gridCol w:w="1081"/>
        <w:gridCol w:w="313"/>
        <w:gridCol w:w="114"/>
        <w:gridCol w:w="1620"/>
        <w:gridCol w:w="1610"/>
      </w:tblGrid>
      <w:tr w:rsidR="007B576D" w:rsidRPr="004376E2" w:rsidTr="002E5868">
        <w:trPr>
          <w:trHeight w:val="322"/>
        </w:trPr>
        <w:tc>
          <w:tcPr>
            <w:tcW w:w="1815" w:type="dxa"/>
            <w:tcBorders>
              <w:top w:val="single" w:sz="8" w:space="0" w:color="auto"/>
              <w:left w:val="single" w:sz="8" w:space="0" w:color="auto"/>
              <w:bottom w:val="single" w:sz="8" w:space="0" w:color="auto"/>
              <w:right w:val="single" w:sz="8" w:space="0" w:color="auto"/>
            </w:tcBorders>
            <w:shd w:val="clear" w:color="auto" w:fill="C0C0C0"/>
          </w:tcPr>
          <w:p w:rsidR="007B576D" w:rsidRPr="004376E2" w:rsidRDefault="007B576D" w:rsidP="007B576D">
            <w:pPr>
              <w:spacing w:after="0" w:line="240" w:lineRule="auto"/>
              <w:jc w:val="both"/>
              <w:rPr>
                <w:rFonts w:ascii="Times New Roman" w:hAnsi="Times New Roman" w:cs="Times New Roman"/>
                <w:b/>
                <w:bCs/>
              </w:rPr>
            </w:pPr>
            <w:r w:rsidRPr="004376E2">
              <w:rPr>
                <w:rFonts w:ascii="Times New Roman" w:hAnsi="Times New Roman" w:cs="Times New Roman"/>
                <w:b/>
                <w:bCs/>
                <w:lang w:val="sr-Latn-CS"/>
              </w:rPr>
              <w:t>Datum</w:t>
            </w:r>
          </w:p>
        </w:tc>
        <w:tc>
          <w:tcPr>
            <w:tcW w:w="2895" w:type="dxa"/>
            <w:gridSpan w:val="4"/>
            <w:tcBorders>
              <w:top w:val="single" w:sz="8" w:space="0" w:color="auto"/>
              <w:left w:val="nil"/>
              <w:bottom w:val="single" w:sz="8" w:space="0" w:color="auto"/>
              <w:right w:val="single" w:sz="8" w:space="0" w:color="auto"/>
            </w:tcBorders>
            <w:shd w:val="clear" w:color="auto" w:fill="C0C0C0"/>
          </w:tcPr>
          <w:p w:rsidR="007B576D" w:rsidRPr="004376E2" w:rsidRDefault="007B576D" w:rsidP="007B576D">
            <w:pPr>
              <w:spacing w:after="0" w:line="240" w:lineRule="auto"/>
              <w:jc w:val="both"/>
              <w:rPr>
                <w:rFonts w:ascii="Times New Roman" w:hAnsi="Times New Roman" w:cs="Times New Roman"/>
                <w:b/>
                <w:bCs/>
              </w:rPr>
            </w:pPr>
            <w:r w:rsidRPr="004376E2">
              <w:rPr>
                <w:rFonts w:ascii="Times New Roman" w:hAnsi="Times New Roman" w:cs="Times New Roman"/>
                <w:b/>
                <w:bCs/>
                <w:lang w:val="sr-Latn-CS"/>
              </w:rPr>
              <w:t>Glavnica (ostatak duga)</w:t>
            </w:r>
          </w:p>
        </w:tc>
        <w:tc>
          <w:tcPr>
            <w:tcW w:w="1941" w:type="dxa"/>
            <w:gridSpan w:val="3"/>
            <w:tcBorders>
              <w:top w:val="single" w:sz="8" w:space="0" w:color="auto"/>
              <w:left w:val="nil"/>
              <w:bottom w:val="single" w:sz="8" w:space="0" w:color="auto"/>
              <w:right w:val="single" w:sz="8" w:space="0" w:color="auto"/>
            </w:tcBorders>
            <w:shd w:val="clear" w:color="auto" w:fill="C0C0C0"/>
          </w:tcPr>
          <w:p w:rsidR="007B576D" w:rsidRPr="004376E2" w:rsidRDefault="007B576D" w:rsidP="007B576D">
            <w:pPr>
              <w:spacing w:after="0" w:line="240" w:lineRule="auto"/>
              <w:jc w:val="both"/>
              <w:rPr>
                <w:rFonts w:ascii="Times New Roman" w:hAnsi="Times New Roman" w:cs="Times New Roman"/>
                <w:b/>
                <w:bCs/>
              </w:rPr>
            </w:pPr>
            <w:r w:rsidRPr="004376E2">
              <w:rPr>
                <w:rFonts w:ascii="Times New Roman" w:hAnsi="Times New Roman" w:cs="Times New Roman"/>
                <w:b/>
                <w:bCs/>
                <w:lang w:val="sr-Latn-CS"/>
              </w:rPr>
              <w:t>Otplata</w:t>
            </w:r>
          </w:p>
        </w:tc>
        <w:tc>
          <w:tcPr>
            <w:tcW w:w="1734" w:type="dxa"/>
            <w:gridSpan w:val="2"/>
            <w:tcBorders>
              <w:top w:val="single" w:sz="8" w:space="0" w:color="auto"/>
              <w:left w:val="nil"/>
              <w:bottom w:val="single" w:sz="8" w:space="0" w:color="auto"/>
              <w:right w:val="single" w:sz="8" w:space="0" w:color="auto"/>
            </w:tcBorders>
            <w:shd w:val="clear" w:color="auto" w:fill="C0C0C0"/>
          </w:tcPr>
          <w:p w:rsidR="007B576D" w:rsidRPr="004376E2" w:rsidRDefault="007B576D" w:rsidP="007B576D">
            <w:pPr>
              <w:spacing w:after="0" w:line="240" w:lineRule="auto"/>
              <w:jc w:val="both"/>
              <w:rPr>
                <w:rFonts w:ascii="Times New Roman" w:hAnsi="Times New Roman" w:cs="Times New Roman"/>
                <w:b/>
                <w:bCs/>
              </w:rPr>
            </w:pPr>
            <w:r w:rsidRPr="004376E2">
              <w:rPr>
                <w:rFonts w:ascii="Times New Roman" w:hAnsi="Times New Roman" w:cs="Times New Roman"/>
                <w:b/>
                <w:bCs/>
                <w:lang w:val="sr-Latn-CS"/>
              </w:rPr>
              <w:t>Kamata</w:t>
            </w:r>
          </w:p>
        </w:tc>
        <w:tc>
          <w:tcPr>
            <w:tcW w:w="1610" w:type="dxa"/>
            <w:tcBorders>
              <w:top w:val="single" w:sz="8" w:space="0" w:color="auto"/>
              <w:left w:val="nil"/>
              <w:bottom w:val="single" w:sz="8" w:space="0" w:color="auto"/>
              <w:right w:val="single" w:sz="8" w:space="0" w:color="auto"/>
            </w:tcBorders>
            <w:shd w:val="clear" w:color="auto" w:fill="C0C0C0"/>
          </w:tcPr>
          <w:p w:rsidR="007B576D" w:rsidRPr="004376E2" w:rsidRDefault="007B576D" w:rsidP="007B576D">
            <w:pPr>
              <w:spacing w:after="0" w:line="240" w:lineRule="auto"/>
              <w:jc w:val="both"/>
              <w:rPr>
                <w:rFonts w:ascii="Times New Roman" w:hAnsi="Times New Roman" w:cs="Times New Roman"/>
                <w:b/>
                <w:bCs/>
              </w:rPr>
            </w:pPr>
            <w:r w:rsidRPr="004376E2">
              <w:rPr>
                <w:rFonts w:ascii="Times New Roman" w:hAnsi="Times New Roman" w:cs="Times New Roman"/>
                <w:b/>
                <w:bCs/>
                <w:lang w:val="sr-Latn-CS"/>
              </w:rPr>
              <w:t>Anuitet u EUR</w:t>
            </w:r>
          </w:p>
        </w:tc>
      </w:tr>
      <w:tr w:rsidR="007B576D" w:rsidRPr="004376E2" w:rsidTr="002E5868">
        <w:trPr>
          <w:trHeight w:val="250"/>
        </w:trPr>
        <w:tc>
          <w:tcPr>
            <w:tcW w:w="1815" w:type="dxa"/>
            <w:tcBorders>
              <w:top w:val="nil"/>
              <w:left w:val="single" w:sz="8" w:space="0" w:color="auto"/>
              <w:bottom w:val="single" w:sz="8" w:space="0" w:color="auto"/>
              <w:right w:val="single" w:sz="8" w:space="0" w:color="auto"/>
            </w:tcBorders>
            <w:shd w:val="clear" w:color="auto" w:fill="auto"/>
          </w:tcPr>
          <w:p w:rsidR="007B576D" w:rsidRPr="004376E2" w:rsidRDefault="007B576D" w:rsidP="007B576D">
            <w:pPr>
              <w:spacing w:after="0" w:line="240" w:lineRule="auto"/>
              <w:jc w:val="both"/>
              <w:rPr>
                <w:rFonts w:ascii="Times New Roman" w:hAnsi="Times New Roman" w:cs="Times New Roman"/>
              </w:rPr>
            </w:pPr>
            <w:r w:rsidRPr="004376E2">
              <w:rPr>
                <w:rFonts w:ascii="Times New Roman" w:hAnsi="Times New Roman" w:cs="Times New Roman"/>
                <w:lang w:val="sr-Latn-CS"/>
              </w:rPr>
              <w:t>30.06.2007.</w:t>
            </w:r>
          </w:p>
        </w:tc>
        <w:tc>
          <w:tcPr>
            <w:tcW w:w="2895" w:type="dxa"/>
            <w:gridSpan w:val="4"/>
            <w:tcBorders>
              <w:top w:val="nil"/>
              <w:left w:val="nil"/>
              <w:bottom w:val="single" w:sz="8" w:space="0" w:color="auto"/>
              <w:right w:val="single" w:sz="8" w:space="0" w:color="auto"/>
            </w:tcBorders>
            <w:shd w:val="clear" w:color="auto" w:fill="auto"/>
          </w:tcPr>
          <w:p w:rsidR="007B576D" w:rsidRPr="004376E2" w:rsidRDefault="007B576D" w:rsidP="00EC6639">
            <w:pPr>
              <w:spacing w:after="0" w:line="240" w:lineRule="auto"/>
              <w:jc w:val="center"/>
              <w:rPr>
                <w:rFonts w:ascii="Times New Roman" w:hAnsi="Times New Roman" w:cs="Times New Roman"/>
              </w:rPr>
            </w:pPr>
            <w:r w:rsidRPr="004376E2">
              <w:rPr>
                <w:rFonts w:ascii="Times New Roman" w:hAnsi="Times New Roman" w:cs="Times New Roman"/>
              </w:rPr>
              <w:t>1,024,404.42</w:t>
            </w:r>
          </w:p>
        </w:tc>
        <w:tc>
          <w:tcPr>
            <w:tcW w:w="1941" w:type="dxa"/>
            <w:gridSpan w:val="3"/>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1734" w:type="dxa"/>
            <w:gridSpan w:val="2"/>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1610" w:type="dxa"/>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r>
      <w:tr w:rsidR="007B576D" w:rsidRPr="004376E2" w:rsidTr="002E5868">
        <w:trPr>
          <w:trHeight w:val="270"/>
        </w:trPr>
        <w:tc>
          <w:tcPr>
            <w:tcW w:w="1815" w:type="dxa"/>
            <w:tcBorders>
              <w:top w:val="nil"/>
              <w:left w:val="single" w:sz="8" w:space="0" w:color="auto"/>
              <w:bottom w:val="single" w:sz="8" w:space="0" w:color="auto"/>
              <w:right w:val="single" w:sz="8" w:space="0" w:color="auto"/>
            </w:tcBorders>
            <w:shd w:val="clear" w:color="auto" w:fill="auto"/>
          </w:tcPr>
          <w:p w:rsidR="007B576D" w:rsidRPr="004376E2" w:rsidRDefault="007B576D" w:rsidP="007B576D">
            <w:pPr>
              <w:spacing w:after="0" w:line="240" w:lineRule="auto"/>
              <w:jc w:val="both"/>
              <w:rPr>
                <w:rFonts w:ascii="Times New Roman" w:hAnsi="Times New Roman" w:cs="Times New Roman"/>
              </w:rPr>
            </w:pPr>
            <w:r w:rsidRPr="004376E2">
              <w:rPr>
                <w:rFonts w:ascii="Times New Roman" w:hAnsi="Times New Roman" w:cs="Times New Roman"/>
                <w:lang w:val="sr-Latn-CS"/>
              </w:rPr>
              <w:t>31.12.2007.</w:t>
            </w:r>
          </w:p>
        </w:tc>
        <w:tc>
          <w:tcPr>
            <w:tcW w:w="2895" w:type="dxa"/>
            <w:gridSpan w:val="4"/>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1941" w:type="dxa"/>
            <w:gridSpan w:val="3"/>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1734" w:type="dxa"/>
            <w:gridSpan w:val="2"/>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1610" w:type="dxa"/>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r>
      <w:tr w:rsidR="007B576D" w:rsidRPr="004376E2" w:rsidTr="002E5868">
        <w:trPr>
          <w:trHeight w:val="270"/>
        </w:trPr>
        <w:tc>
          <w:tcPr>
            <w:tcW w:w="1815" w:type="dxa"/>
            <w:tcBorders>
              <w:top w:val="nil"/>
              <w:left w:val="single" w:sz="8" w:space="0" w:color="auto"/>
              <w:bottom w:val="single" w:sz="8" w:space="0" w:color="auto"/>
              <w:right w:val="single" w:sz="8" w:space="0" w:color="auto"/>
            </w:tcBorders>
            <w:shd w:val="clear" w:color="auto" w:fill="auto"/>
          </w:tcPr>
          <w:p w:rsidR="007B576D" w:rsidRPr="004376E2" w:rsidRDefault="007B576D" w:rsidP="007B576D">
            <w:pPr>
              <w:spacing w:after="0" w:line="240" w:lineRule="auto"/>
              <w:jc w:val="both"/>
              <w:rPr>
                <w:rFonts w:ascii="Times New Roman" w:hAnsi="Times New Roman" w:cs="Times New Roman"/>
              </w:rPr>
            </w:pPr>
            <w:r w:rsidRPr="004376E2">
              <w:rPr>
                <w:rFonts w:ascii="Times New Roman" w:hAnsi="Times New Roman" w:cs="Times New Roman"/>
                <w:lang w:val="sr-Latn-CS"/>
              </w:rPr>
              <w:t>30.06.2008.</w:t>
            </w:r>
          </w:p>
        </w:tc>
        <w:tc>
          <w:tcPr>
            <w:tcW w:w="2895" w:type="dxa"/>
            <w:gridSpan w:val="4"/>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1941" w:type="dxa"/>
            <w:gridSpan w:val="3"/>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1734" w:type="dxa"/>
            <w:gridSpan w:val="2"/>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1610" w:type="dxa"/>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r>
      <w:tr w:rsidR="007B576D" w:rsidRPr="004376E2" w:rsidTr="002E5868">
        <w:trPr>
          <w:trHeight w:val="270"/>
        </w:trPr>
        <w:tc>
          <w:tcPr>
            <w:tcW w:w="1815" w:type="dxa"/>
            <w:tcBorders>
              <w:top w:val="nil"/>
              <w:left w:val="single" w:sz="8" w:space="0" w:color="auto"/>
              <w:bottom w:val="single" w:sz="8" w:space="0" w:color="auto"/>
              <w:right w:val="single" w:sz="8" w:space="0" w:color="auto"/>
            </w:tcBorders>
            <w:shd w:val="clear" w:color="auto" w:fill="auto"/>
          </w:tcPr>
          <w:p w:rsidR="007B576D" w:rsidRPr="004376E2" w:rsidRDefault="007B576D" w:rsidP="007B576D">
            <w:pPr>
              <w:spacing w:after="0" w:line="240" w:lineRule="auto"/>
              <w:jc w:val="both"/>
              <w:rPr>
                <w:rFonts w:ascii="Times New Roman" w:hAnsi="Times New Roman" w:cs="Times New Roman"/>
              </w:rPr>
            </w:pPr>
            <w:r w:rsidRPr="004376E2">
              <w:rPr>
                <w:rFonts w:ascii="Times New Roman" w:hAnsi="Times New Roman" w:cs="Times New Roman"/>
                <w:lang w:val="sr-Latn-CS"/>
              </w:rPr>
              <w:t>31.12.2008.</w:t>
            </w:r>
          </w:p>
        </w:tc>
        <w:tc>
          <w:tcPr>
            <w:tcW w:w="2895" w:type="dxa"/>
            <w:gridSpan w:val="4"/>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1941" w:type="dxa"/>
            <w:gridSpan w:val="3"/>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1734" w:type="dxa"/>
            <w:gridSpan w:val="2"/>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1610" w:type="dxa"/>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r>
      <w:tr w:rsidR="007B576D" w:rsidRPr="004376E2" w:rsidTr="002E5868">
        <w:trPr>
          <w:trHeight w:val="270"/>
        </w:trPr>
        <w:tc>
          <w:tcPr>
            <w:tcW w:w="1815" w:type="dxa"/>
            <w:tcBorders>
              <w:top w:val="nil"/>
              <w:left w:val="single" w:sz="8" w:space="0" w:color="auto"/>
              <w:bottom w:val="single" w:sz="8" w:space="0" w:color="auto"/>
              <w:right w:val="single" w:sz="8" w:space="0" w:color="auto"/>
            </w:tcBorders>
            <w:shd w:val="clear" w:color="auto" w:fill="auto"/>
          </w:tcPr>
          <w:p w:rsidR="007B576D" w:rsidRPr="004376E2" w:rsidRDefault="007B576D" w:rsidP="007B576D">
            <w:pPr>
              <w:spacing w:after="0" w:line="240" w:lineRule="auto"/>
              <w:jc w:val="both"/>
              <w:rPr>
                <w:rFonts w:ascii="Times New Roman" w:hAnsi="Times New Roman" w:cs="Times New Roman"/>
              </w:rPr>
            </w:pPr>
            <w:r w:rsidRPr="004376E2">
              <w:rPr>
                <w:rFonts w:ascii="Times New Roman" w:hAnsi="Times New Roman" w:cs="Times New Roman"/>
                <w:lang w:val="sr-Latn-CS"/>
              </w:rPr>
              <w:t>30.06.2009.</w:t>
            </w:r>
          </w:p>
        </w:tc>
        <w:tc>
          <w:tcPr>
            <w:tcW w:w="2895" w:type="dxa"/>
            <w:gridSpan w:val="4"/>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1941" w:type="dxa"/>
            <w:gridSpan w:val="3"/>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1734" w:type="dxa"/>
            <w:gridSpan w:val="2"/>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1610" w:type="dxa"/>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r>
      <w:tr w:rsidR="007B576D" w:rsidRPr="004376E2" w:rsidTr="002E5868">
        <w:trPr>
          <w:trHeight w:val="270"/>
        </w:trPr>
        <w:tc>
          <w:tcPr>
            <w:tcW w:w="1815" w:type="dxa"/>
            <w:tcBorders>
              <w:top w:val="nil"/>
              <w:left w:val="single" w:sz="8" w:space="0" w:color="auto"/>
              <w:bottom w:val="nil"/>
              <w:right w:val="single" w:sz="8" w:space="0" w:color="auto"/>
            </w:tcBorders>
            <w:shd w:val="clear" w:color="auto" w:fill="auto"/>
          </w:tcPr>
          <w:p w:rsidR="007B576D" w:rsidRPr="004376E2" w:rsidRDefault="007B576D" w:rsidP="007B576D">
            <w:pPr>
              <w:spacing w:after="0" w:line="240" w:lineRule="auto"/>
              <w:jc w:val="both"/>
              <w:rPr>
                <w:rFonts w:ascii="Times New Roman" w:hAnsi="Times New Roman" w:cs="Times New Roman"/>
              </w:rPr>
            </w:pPr>
            <w:r w:rsidRPr="004376E2">
              <w:rPr>
                <w:rFonts w:ascii="Times New Roman" w:hAnsi="Times New Roman" w:cs="Times New Roman"/>
                <w:lang w:val="sr-Latn-CS"/>
              </w:rPr>
              <w:t>31.12.2010.</w:t>
            </w:r>
          </w:p>
        </w:tc>
        <w:tc>
          <w:tcPr>
            <w:tcW w:w="2895" w:type="dxa"/>
            <w:gridSpan w:val="4"/>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1941" w:type="dxa"/>
            <w:gridSpan w:val="3"/>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1734" w:type="dxa"/>
            <w:gridSpan w:val="2"/>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1610" w:type="dxa"/>
            <w:tcBorders>
              <w:top w:val="nil"/>
              <w:left w:val="nil"/>
              <w:bottom w:val="single" w:sz="8" w:space="0" w:color="auto"/>
              <w:right w:val="single" w:sz="8" w:space="0" w:color="auto"/>
            </w:tcBorders>
            <w:shd w:val="clear" w:color="auto" w:fill="auto"/>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r>
      <w:tr w:rsidR="007B576D" w:rsidRPr="004376E2" w:rsidTr="002E5868">
        <w:trPr>
          <w:trHeight w:val="160"/>
        </w:trPr>
        <w:tc>
          <w:tcPr>
            <w:tcW w:w="1815" w:type="dxa"/>
            <w:tcBorders>
              <w:top w:val="single" w:sz="8" w:space="0" w:color="auto"/>
              <w:left w:val="single" w:sz="8" w:space="0" w:color="auto"/>
              <w:bottom w:val="single" w:sz="8" w:space="0" w:color="auto"/>
              <w:right w:val="single" w:sz="8" w:space="0" w:color="auto"/>
            </w:tcBorders>
            <w:shd w:val="clear" w:color="auto" w:fill="C0C0C0"/>
          </w:tcPr>
          <w:p w:rsidR="007B576D" w:rsidRPr="004376E2" w:rsidRDefault="007B576D" w:rsidP="007B576D">
            <w:pPr>
              <w:spacing w:after="0" w:line="240" w:lineRule="auto"/>
              <w:jc w:val="both"/>
              <w:rPr>
                <w:rFonts w:ascii="Times New Roman" w:hAnsi="Times New Roman" w:cs="Times New Roman"/>
              </w:rPr>
            </w:pPr>
            <w:r w:rsidRPr="004376E2">
              <w:rPr>
                <w:rFonts w:ascii="Times New Roman" w:hAnsi="Times New Roman" w:cs="Times New Roman"/>
              </w:rPr>
              <w:t>UKUPNO</w:t>
            </w:r>
          </w:p>
        </w:tc>
        <w:tc>
          <w:tcPr>
            <w:tcW w:w="2895" w:type="dxa"/>
            <w:gridSpan w:val="4"/>
            <w:tcBorders>
              <w:top w:val="nil"/>
              <w:left w:val="nil"/>
              <w:bottom w:val="single" w:sz="8" w:space="0" w:color="auto"/>
              <w:right w:val="single" w:sz="8" w:space="0" w:color="auto"/>
            </w:tcBorders>
            <w:shd w:val="clear" w:color="auto" w:fill="C0C0C0"/>
          </w:tcPr>
          <w:p w:rsidR="007B576D" w:rsidRPr="004376E2" w:rsidRDefault="007B576D" w:rsidP="00EC6639">
            <w:pPr>
              <w:spacing w:after="0" w:line="240" w:lineRule="auto"/>
              <w:jc w:val="center"/>
              <w:rPr>
                <w:rFonts w:ascii="Times New Roman" w:hAnsi="Times New Roman" w:cs="Times New Roman"/>
              </w:rPr>
            </w:pPr>
          </w:p>
        </w:tc>
        <w:tc>
          <w:tcPr>
            <w:tcW w:w="1941" w:type="dxa"/>
            <w:gridSpan w:val="3"/>
            <w:tcBorders>
              <w:top w:val="nil"/>
              <w:left w:val="nil"/>
              <w:bottom w:val="single" w:sz="8" w:space="0" w:color="auto"/>
              <w:right w:val="single" w:sz="8" w:space="0" w:color="auto"/>
            </w:tcBorders>
            <w:shd w:val="clear" w:color="auto" w:fill="C0C0C0"/>
            <w:noWrap/>
            <w:vAlign w:val="bottom"/>
          </w:tcPr>
          <w:p w:rsidR="007B576D" w:rsidRPr="004376E2" w:rsidRDefault="007B576D" w:rsidP="00EC6639">
            <w:pPr>
              <w:spacing w:after="0" w:line="240" w:lineRule="auto"/>
              <w:jc w:val="center"/>
              <w:rPr>
                <w:rFonts w:ascii="Times New Roman" w:hAnsi="Times New Roman" w:cs="Times New Roman"/>
              </w:rPr>
            </w:pPr>
            <w:r w:rsidRPr="004376E2">
              <w:rPr>
                <w:rFonts w:ascii="Times New Roman" w:hAnsi="Times New Roman" w:cs="Times New Roman"/>
              </w:rPr>
              <w:t>1,024,404.42</w:t>
            </w:r>
          </w:p>
        </w:tc>
        <w:tc>
          <w:tcPr>
            <w:tcW w:w="1734" w:type="dxa"/>
            <w:gridSpan w:val="2"/>
            <w:tcBorders>
              <w:top w:val="nil"/>
              <w:left w:val="nil"/>
              <w:bottom w:val="single" w:sz="8" w:space="0" w:color="auto"/>
              <w:right w:val="single" w:sz="8" w:space="0" w:color="auto"/>
            </w:tcBorders>
            <w:shd w:val="clear" w:color="auto" w:fill="C0C0C0"/>
            <w:noWrap/>
            <w:vAlign w:val="bottom"/>
          </w:tcPr>
          <w:p w:rsidR="007B576D" w:rsidRPr="004376E2" w:rsidRDefault="007B576D" w:rsidP="007A7E9C">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1610" w:type="dxa"/>
            <w:tcBorders>
              <w:top w:val="nil"/>
              <w:left w:val="nil"/>
              <w:bottom w:val="single" w:sz="8" w:space="0" w:color="auto"/>
              <w:right w:val="single" w:sz="8" w:space="0" w:color="auto"/>
            </w:tcBorders>
            <w:shd w:val="clear" w:color="auto" w:fill="C0C0C0"/>
            <w:noWrap/>
            <w:vAlign w:val="bottom"/>
          </w:tcPr>
          <w:p w:rsidR="007B576D" w:rsidRPr="004376E2" w:rsidRDefault="007B576D" w:rsidP="007B576D">
            <w:pPr>
              <w:spacing w:after="0" w:line="240" w:lineRule="auto"/>
              <w:jc w:val="both"/>
              <w:rPr>
                <w:rFonts w:ascii="Times New Roman" w:hAnsi="Times New Roman" w:cs="Times New Roman"/>
              </w:rPr>
            </w:pPr>
          </w:p>
        </w:tc>
      </w:tr>
      <w:tr w:rsidR="007B576D" w:rsidRPr="004376E2" w:rsidTr="002E5868">
        <w:trPr>
          <w:trHeight w:val="270"/>
        </w:trPr>
        <w:tc>
          <w:tcPr>
            <w:tcW w:w="8385" w:type="dxa"/>
            <w:gridSpan w:val="10"/>
            <w:tcBorders>
              <w:top w:val="nil"/>
              <w:left w:val="nil"/>
              <w:bottom w:val="single" w:sz="8" w:space="0" w:color="auto"/>
              <w:right w:val="nil"/>
            </w:tcBorders>
            <w:shd w:val="clear" w:color="auto" w:fill="auto"/>
            <w:noWrap/>
            <w:vAlign w:val="bottom"/>
          </w:tcPr>
          <w:p w:rsidR="00EC6639" w:rsidRDefault="00EC6639" w:rsidP="007B576D">
            <w:pPr>
              <w:spacing w:after="0" w:line="240" w:lineRule="auto"/>
              <w:jc w:val="both"/>
              <w:rPr>
                <w:rFonts w:ascii="Times New Roman" w:hAnsi="Times New Roman" w:cs="Times New Roman"/>
                <w:b/>
                <w:bCs/>
              </w:rPr>
            </w:pPr>
          </w:p>
          <w:p w:rsidR="007B576D" w:rsidRPr="004376E2" w:rsidRDefault="00EC6639" w:rsidP="007B576D">
            <w:pPr>
              <w:spacing w:after="0" w:line="240" w:lineRule="auto"/>
              <w:jc w:val="both"/>
              <w:rPr>
                <w:rFonts w:ascii="Times New Roman" w:hAnsi="Times New Roman" w:cs="Times New Roman"/>
                <w:b/>
                <w:bCs/>
              </w:rPr>
            </w:pPr>
            <w:proofErr w:type="spellStart"/>
            <w:r w:rsidRPr="004376E2">
              <w:rPr>
                <w:rFonts w:ascii="Times New Roman" w:hAnsi="Times New Roman" w:cs="Times New Roman"/>
                <w:b/>
                <w:bCs/>
              </w:rPr>
              <w:t>Godišnji</w:t>
            </w:r>
            <w:proofErr w:type="spellEnd"/>
            <w:r w:rsidRPr="004376E2">
              <w:rPr>
                <w:rFonts w:ascii="Times New Roman" w:hAnsi="Times New Roman" w:cs="Times New Roman"/>
                <w:b/>
                <w:bCs/>
              </w:rPr>
              <w:t xml:space="preserve"> </w:t>
            </w:r>
            <w:proofErr w:type="spellStart"/>
            <w:r w:rsidRPr="004376E2">
              <w:rPr>
                <w:rFonts w:ascii="Times New Roman" w:hAnsi="Times New Roman" w:cs="Times New Roman"/>
                <w:b/>
                <w:bCs/>
              </w:rPr>
              <w:t>prikaz</w:t>
            </w:r>
            <w:proofErr w:type="spellEnd"/>
            <w:r w:rsidRPr="004376E2">
              <w:rPr>
                <w:rFonts w:ascii="Times New Roman" w:hAnsi="Times New Roman" w:cs="Times New Roman"/>
                <w:b/>
                <w:bCs/>
              </w:rPr>
              <w:t xml:space="preserve"> </w:t>
            </w:r>
            <w:proofErr w:type="spellStart"/>
            <w:r w:rsidRPr="004376E2">
              <w:rPr>
                <w:rFonts w:ascii="Times New Roman" w:hAnsi="Times New Roman" w:cs="Times New Roman"/>
                <w:b/>
                <w:bCs/>
              </w:rPr>
              <w:t>kamate</w:t>
            </w:r>
            <w:proofErr w:type="spellEnd"/>
            <w:r w:rsidRPr="004376E2">
              <w:rPr>
                <w:rFonts w:ascii="Times New Roman" w:hAnsi="Times New Roman" w:cs="Times New Roman"/>
                <w:b/>
                <w:bCs/>
              </w:rPr>
              <w:t xml:space="preserve"> </w:t>
            </w:r>
            <w:proofErr w:type="spellStart"/>
            <w:r w:rsidRPr="004376E2">
              <w:rPr>
                <w:rFonts w:ascii="Times New Roman" w:hAnsi="Times New Roman" w:cs="Times New Roman"/>
                <w:b/>
                <w:bCs/>
              </w:rPr>
              <w:t>i</w:t>
            </w:r>
            <w:proofErr w:type="spellEnd"/>
            <w:r w:rsidRPr="004376E2">
              <w:rPr>
                <w:rFonts w:ascii="Times New Roman" w:hAnsi="Times New Roman" w:cs="Times New Roman"/>
                <w:b/>
                <w:bCs/>
              </w:rPr>
              <w:t xml:space="preserve"> </w:t>
            </w:r>
            <w:proofErr w:type="spellStart"/>
            <w:r w:rsidRPr="004376E2">
              <w:rPr>
                <w:rFonts w:ascii="Times New Roman" w:hAnsi="Times New Roman" w:cs="Times New Roman"/>
                <w:b/>
                <w:bCs/>
              </w:rPr>
              <w:t>otplate</w:t>
            </w:r>
            <w:proofErr w:type="spellEnd"/>
            <w:r w:rsidRPr="004376E2">
              <w:rPr>
                <w:rFonts w:ascii="Times New Roman" w:hAnsi="Times New Roman" w:cs="Times New Roman"/>
                <w:b/>
                <w:bCs/>
              </w:rPr>
              <w:t xml:space="preserve"> (</w:t>
            </w:r>
            <w:proofErr w:type="spellStart"/>
            <w:r w:rsidRPr="004376E2">
              <w:rPr>
                <w:rFonts w:ascii="Times New Roman" w:hAnsi="Times New Roman" w:cs="Times New Roman"/>
                <w:b/>
                <w:bCs/>
              </w:rPr>
              <w:t>metod</w:t>
            </w:r>
            <w:proofErr w:type="spellEnd"/>
            <w:r w:rsidRPr="004376E2">
              <w:rPr>
                <w:rFonts w:ascii="Times New Roman" w:hAnsi="Times New Roman" w:cs="Times New Roman"/>
                <w:b/>
                <w:bCs/>
              </w:rPr>
              <w:t xml:space="preserve"> </w:t>
            </w:r>
            <w:proofErr w:type="spellStart"/>
            <w:r w:rsidRPr="004376E2">
              <w:rPr>
                <w:rFonts w:ascii="Times New Roman" w:hAnsi="Times New Roman" w:cs="Times New Roman"/>
                <w:b/>
                <w:bCs/>
              </w:rPr>
              <w:t>jednakih</w:t>
            </w:r>
            <w:proofErr w:type="spellEnd"/>
            <w:r w:rsidRPr="004376E2">
              <w:rPr>
                <w:rFonts w:ascii="Times New Roman" w:hAnsi="Times New Roman" w:cs="Times New Roman"/>
                <w:b/>
                <w:bCs/>
              </w:rPr>
              <w:t xml:space="preserve"> </w:t>
            </w:r>
            <w:proofErr w:type="spellStart"/>
            <w:r w:rsidRPr="004376E2">
              <w:rPr>
                <w:rFonts w:ascii="Times New Roman" w:hAnsi="Times New Roman" w:cs="Times New Roman"/>
                <w:b/>
                <w:bCs/>
              </w:rPr>
              <w:t>anuiteta</w:t>
            </w:r>
            <w:proofErr w:type="spellEnd"/>
            <w:r w:rsidRPr="004376E2">
              <w:rPr>
                <w:rFonts w:ascii="Times New Roman" w:hAnsi="Times New Roman" w:cs="Times New Roman"/>
                <w:b/>
                <w:bCs/>
              </w:rPr>
              <w:t>)</w:t>
            </w:r>
          </w:p>
        </w:tc>
        <w:tc>
          <w:tcPr>
            <w:tcW w:w="1610" w:type="dxa"/>
            <w:tcBorders>
              <w:top w:val="nil"/>
              <w:left w:val="nil"/>
              <w:bottom w:val="nil"/>
              <w:right w:val="nil"/>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b/>
                <w:bCs/>
              </w:rPr>
            </w:pPr>
            <w:r w:rsidRPr="004376E2">
              <w:rPr>
                <w:rFonts w:ascii="Times New Roman" w:hAnsi="Times New Roman" w:cs="Times New Roman"/>
                <w:b/>
                <w:bCs/>
              </w:rPr>
              <w:t xml:space="preserve"> u EUR </w:t>
            </w:r>
          </w:p>
        </w:tc>
      </w:tr>
      <w:tr w:rsidR="007B576D" w:rsidRPr="004376E2" w:rsidTr="002E5868">
        <w:trPr>
          <w:trHeight w:val="270"/>
        </w:trPr>
        <w:tc>
          <w:tcPr>
            <w:tcW w:w="2240" w:type="dxa"/>
            <w:gridSpan w:val="2"/>
            <w:tcBorders>
              <w:top w:val="nil"/>
              <w:left w:val="single" w:sz="8" w:space="0" w:color="auto"/>
              <w:bottom w:val="single" w:sz="8" w:space="0" w:color="auto"/>
              <w:right w:val="single" w:sz="8" w:space="0" w:color="auto"/>
            </w:tcBorders>
            <w:shd w:val="clear" w:color="9999FF" w:fill="C0C0C0"/>
            <w:noWrap/>
            <w:vAlign w:val="bottom"/>
          </w:tcPr>
          <w:p w:rsidR="007B576D" w:rsidRPr="004376E2" w:rsidRDefault="007B576D" w:rsidP="007B576D">
            <w:pPr>
              <w:spacing w:after="0" w:line="240" w:lineRule="auto"/>
              <w:jc w:val="both"/>
              <w:rPr>
                <w:rFonts w:ascii="Times New Roman" w:hAnsi="Times New Roman" w:cs="Times New Roman"/>
                <w:b/>
                <w:bCs/>
                <w:i/>
                <w:iCs/>
              </w:rPr>
            </w:pPr>
            <w:proofErr w:type="spellStart"/>
            <w:r w:rsidRPr="004376E2">
              <w:rPr>
                <w:rFonts w:ascii="Times New Roman" w:hAnsi="Times New Roman" w:cs="Times New Roman"/>
                <w:b/>
                <w:bCs/>
                <w:i/>
                <w:iCs/>
              </w:rPr>
              <w:t>Vrsta</w:t>
            </w:r>
            <w:proofErr w:type="spellEnd"/>
            <w:r w:rsidR="00EC6639">
              <w:rPr>
                <w:rFonts w:ascii="Times New Roman" w:hAnsi="Times New Roman" w:cs="Times New Roman"/>
                <w:b/>
                <w:bCs/>
                <w:i/>
                <w:iCs/>
              </w:rPr>
              <w:t xml:space="preserve"> </w:t>
            </w:r>
            <w:proofErr w:type="spellStart"/>
            <w:r w:rsidRPr="004376E2">
              <w:rPr>
                <w:rFonts w:ascii="Times New Roman" w:hAnsi="Times New Roman" w:cs="Times New Roman"/>
                <w:b/>
                <w:bCs/>
                <w:i/>
                <w:iCs/>
              </w:rPr>
              <w:t>troška</w:t>
            </w:r>
            <w:proofErr w:type="spellEnd"/>
          </w:p>
        </w:tc>
        <w:tc>
          <w:tcPr>
            <w:tcW w:w="1862" w:type="dxa"/>
            <w:gridSpan w:val="2"/>
            <w:tcBorders>
              <w:top w:val="nil"/>
              <w:left w:val="nil"/>
              <w:bottom w:val="single" w:sz="8" w:space="0" w:color="auto"/>
              <w:right w:val="single" w:sz="8" w:space="0" w:color="auto"/>
            </w:tcBorders>
            <w:shd w:val="clear" w:color="auto" w:fill="C0C0C0"/>
            <w:noWrap/>
            <w:vAlign w:val="bottom"/>
          </w:tcPr>
          <w:p w:rsidR="007B576D" w:rsidRPr="004376E2" w:rsidRDefault="007B576D" w:rsidP="007B576D">
            <w:pPr>
              <w:spacing w:after="0" w:line="240" w:lineRule="auto"/>
              <w:jc w:val="both"/>
              <w:rPr>
                <w:rFonts w:ascii="Times New Roman" w:hAnsi="Times New Roman" w:cs="Times New Roman"/>
                <w:b/>
                <w:bCs/>
                <w:i/>
                <w:iCs/>
              </w:rPr>
            </w:pPr>
            <w:r w:rsidRPr="004376E2">
              <w:rPr>
                <w:rFonts w:ascii="Times New Roman" w:hAnsi="Times New Roman" w:cs="Times New Roman"/>
                <w:b/>
                <w:bCs/>
                <w:i/>
                <w:iCs/>
              </w:rPr>
              <w:t>2006</w:t>
            </w:r>
          </w:p>
        </w:tc>
        <w:tc>
          <w:tcPr>
            <w:tcW w:w="2236" w:type="dxa"/>
            <w:gridSpan w:val="3"/>
            <w:tcBorders>
              <w:top w:val="nil"/>
              <w:left w:val="nil"/>
              <w:bottom w:val="single" w:sz="8" w:space="0" w:color="auto"/>
              <w:right w:val="single" w:sz="8" w:space="0" w:color="auto"/>
            </w:tcBorders>
            <w:shd w:val="clear" w:color="auto" w:fill="C0C0C0"/>
            <w:noWrap/>
            <w:vAlign w:val="bottom"/>
          </w:tcPr>
          <w:p w:rsidR="007B576D" w:rsidRPr="004376E2" w:rsidRDefault="007B576D" w:rsidP="007B576D">
            <w:pPr>
              <w:spacing w:after="0" w:line="240" w:lineRule="auto"/>
              <w:jc w:val="both"/>
              <w:rPr>
                <w:rFonts w:ascii="Times New Roman" w:hAnsi="Times New Roman" w:cs="Times New Roman"/>
                <w:b/>
                <w:bCs/>
                <w:i/>
                <w:iCs/>
              </w:rPr>
            </w:pPr>
            <w:r w:rsidRPr="004376E2">
              <w:rPr>
                <w:rFonts w:ascii="Times New Roman" w:hAnsi="Times New Roman" w:cs="Times New Roman"/>
                <w:b/>
                <w:bCs/>
                <w:i/>
                <w:iCs/>
              </w:rPr>
              <w:t>2007</w:t>
            </w:r>
          </w:p>
        </w:tc>
        <w:tc>
          <w:tcPr>
            <w:tcW w:w="2047" w:type="dxa"/>
            <w:gridSpan w:val="3"/>
            <w:tcBorders>
              <w:top w:val="nil"/>
              <w:left w:val="nil"/>
              <w:bottom w:val="single" w:sz="8" w:space="0" w:color="auto"/>
              <w:right w:val="single" w:sz="8" w:space="0" w:color="auto"/>
            </w:tcBorders>
            <w:shd w:val="clear" w:color="auto" w:fill="C0C0C0"/>
            <w:noWrap/>
            <w:vAlign w:val="bottom"/>
          </w:tcPr>
          <w:p w:rsidR="007B576D" w:rsidRPr="004376E2" w:rsidRDefault="007B576D" w:rsidP="007B576D">
            <w:pPr>
              <w:spacing w:after="0" w:line="240" w:lineRule="auto"/>
              <w:jc w:val="both"/>
              <w:rPr>
                <w:rFonts w:ascii="Times New Roman" w:hAnsi="Times New Roman" w:cs="Times New Roman"/>
                <w:b/>
                <w:bCs/>
                <w:i/>
                <w:iCs/>
              </w:rPr>
            </w:pPr>
            <w:r w:rsidRPr="004376E2">
              <w:rPr>
                <w:rFonts w:ascii="Times New Roman" w:hAnsi="Times New Roman" w:cs="Times New Roman"/>
                <w:b/>
                <w:bCs/>
                <w:i/>
                <w:iCs/>
              </w:rPr>
              <w:t>2008</w:t>
            </w:r>
          </w:p>
        </w:tc>
        <w:tc>
          <w:tcPr>
            <w:tcW w:w="1610" w:type="dxa"/>
            <w:tcBorders>
              <w:top w:val="single" w:sz="8" w:space="0" w:color="auto"/>
              <w:left w:val="nil"/>
              <w:bottom w:val="single" w:sz="8" w:space="0" w:color="auto"/>
              <w:right w:val="single" w:sz="8" w:space="0" w:color="auto"/>
            </w:tcBorders>
            <w:shd w:val="clear" w:color="auto" w:fill="C0C0C0"/>
            <w:noWrap/>
            <w:vAlign w:val="bottom"/>
          </w:tcPr>
          <w:p w:rsidR="007B576D" w:rsidRPr="004376E2" w:rsidRDefault="007B576D" w:rsidP="007B576D">
            <w:pPr>
              <w:spacing w:after="0" w:line="240" w:lineRule="auto"/>
              <w:jc w:val="both"/>
              <w:rPr>
                <w:rFonts w:ascii="Times New Roman" w:hAnsi="Times New Roman" w:cs="Times New Roman"/>
                <w:b/>
                <w:bCs/>
                <w:i/>
                <w:iCs/>
              </w:rPr>
            </w:pPr>
            <w:r w:rsidRPr="004376E2">
              <w:rPr>
                <w:rFonts w:ascii="Times New Roman" w:hAnsi="Times New Roman" w:cs="Times New Roman"/>
                <w:b/>
                <w:bCs/>
                <w:i/>
                <w:iCs/>
              </w:rPr>
              <w:t>2009</w:t>
            </w:r>
          </w:p>
        </w:tc>
      </w:tr>
      <w:tr w:rsidR="007B576D" w:rsidRPr="004376E2" w:rsidTr="002E5868">
        <w:trPr>
          <w:trHeight w:val="255"/>
        </w:trPr>
        <w:tc>
          <w:tcPr>
            <w:tcW w:w="2240" w:type="dxa"/>
            <w:gridSpan w:val="2"/>
            <w:tcBorders>
              <w:top w:val="nil"/>
              <w:left w:val="single" w:sz="8" w:space="0" w:color="auto"/>
              <w:bottom w:val="single" w:sz="4" w:space="0" w:color="auto"/>
              <w:right w:val="single" w:sz="4"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rPr>
            </w:pPr>
            <w:proofErr w:type="spellStart"/>
            <w:r w:rsidRPr="004376E2">
              <w:rPr>
                <w:rFonts w:ascii="Times New Roman" w:hAnsi="Times New Roman" w:cs="Times New Roman"/>
              </w:rPr>
              <w:t>Kamata</w:t>
            </w:r>
            <w:proofErr w:type="spellEnd"/>
          </w:p>
        </w:tc>
        <w:tc>
          <w:tcPr>
            <w:tcW w:w="1862" w:type="dxa"/>
            <w:gridSpan w:val="2"/>
            <w:tcBorders>
              <w:top w:val="nil"/>
              <w:left w:val="single" w:sz="8" w:space="0" w:color="auto"/>
              <w:bottom w:val="single" w:sz="4" w:space="0" w:color="auto"/>
              <w:right w:val="single" w:sz="8"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rPr>
            </w:pPr>
          </w:p>
        </w:tc>
        <w:tc>
          <w:tcPr>
            <w:tcW w:w="2236" w:type="dxa"/>
            <w:gridSpan w:val="3"/>
            <w:tcBorders>
              <w:top w:val="nil"/>
              <w:left w:val="nil"/>
              <w:bottom w:val="single" w:sz="4" w:space="0" w:color="auto"/>
              <w:right w:val="single" w:sz="8"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rPr>
            </w:pPr>
          </w:p>
        </w:tc>
        <w:tc>
          <w:tcPr>
            <w:tcW w:w="2047" w:type="dxa"/>
            <w:gridSpan w:val="3"/>
            <w:tcBorders>
              <w:top w:val="nil"/>
              <w:left w:val="nil"/>
              <w:bottom w:val="single" w:sz="4" w:space="0" w:color="auto"/>
              <w:right w:val="single" w:sz="8"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rPr>
            </w:pPr>
          </w:p>
        </w:tc>
        <w:tc>
          <w:tcPr>
            <w:tcW w:w="1610" w:type="dxa"/>
            <w:tcBorders>
              <w:top w:val="nil"/>
              <w:left w:val="nil"/>
              <w:bottom w:val="single" w:sz="4" w:space="0" w:color="auto"/>
              <w:right w:val="single" w:sz="8"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rPr>
            </w:pPr>
          </w:p>
        </w:tc>
      </w:tr>
      <w:tr w:rsidR="007B576D" w:rsidRPr="004376E2" w:rsidTr="002E5868">
        <w:trPr>
          <w:trHeight w:val="270"/>
        </w:trPr>
        <w:tc>
          <w:tcPr>
            <w:tcW w:w="2240" w:type="dxa"/>
            <w:gridSpan w:val="2"/>
            <w:tcBorders>
              <w:top w:val="nil"/>
              <w:left w:val="single" w:sz="8" w:space="0" w:color="auto"/>
              <w:bottom w:val="single" w:sz="4" w:space="0" w:color="auto"/>
              <w:right w:val="single" w:sz="4"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rPr>
            </w:pPr>
            <w:proofErr w:type="spellStart"/>
            <w:r w:rsidRPr="004376E2">
              <w:rPr>
                <w:rFonts w:ascii="Times New Roman" w:hAnsi="Times New Roman" w:cs="Times New Roman"/>
              </w:rPr>
              <w:t>Otplata</w:t>
            </w:r>
            <w:proofErr w:type="spellEnd"/>
            <w:r w:rsidR="00EC6639">
              <w:rPr>
                <w:rFonts w:ascii="Times New Roman" w:hAnsi="Times New Roman" w:cs="Times New Roman"/>
              </w:rPr>
              <w:t xml:space="preserve"> </w:t>
            </w:r>
            <w:proofErr w:type="spellStart"/>
            <w:r w:rsidRPr="004376E2">
              <w:rPr>
                <w:rFonts w:ascii="Times New Roman" w:hAnsi="Times New Roman" w:cs="Times New Roman"/>
              </w:rPr>
              <w:t>kredita</w:t>
            </w:r>
            <w:proofErr w:type="spellEnd"/>
          </w:p>
        </w:tc>
        <w:tc>
          <w:tcPr>
            <w:tcW w:w="1862" w:type="dxa"/>
            <w:gridSpan w:val="2"/>
            <w:tcBorders>
              <w:top w:val="nil"/>
              <w:left w:val="single" w:sz="8" w:space="0" w:color="auto"/>
              <w:bottom w:val="single" w:sz="4" w:space="0" w:color="auto"/>
              <w:right w:val="single" w:sz="8"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rPr>
            </w:pPr>
            <w:r w:rsidRPr="004376E2">
              <w:rPr>
                <w:rFonts w:ascii="Times New Roman" w:hAnsi="Times New Roman" w:cs="Times New Roman"/>
              </w:rPr>
              <w:t xml:space="preserve"> </w:t>
            </w:r>
          </w:p>
        </w:tc>
        <w:tc>
          <w:tcPr>
            <w:tcW w:w="2236" w:type="dxa"/>
            <w:gridSpan w:val="3"/>
            <w:tcBorders>
              <w:top w:val="nil"/>
              <w:left w:val="nil"/>
              <w:bottom w:val="single" w:sz="4" w:space="0" w:color="auto"/>
              <w:right w:val="single" w:sz="8"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rPr>
            </w:pPr>
          </w:p>
        </w:tc>
        <w:tc>
          <w:tcPr>
            <w:tcW w:w="2047" w:type="dxa"/>
            <w:gridSpan w:val="3"/>
            <w:tcBorders>
              <w:top w:val="nil"/>
              <w:left w:val="nil"/>
              <w:bottom w:val="single" w:sz="4" w:space="0" w:color="auto"/>
              <w:right w:val="single" w:sz="8"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rPr>
            </w:pPr>
          </w:p>
        </w:tc>
        <w:tc>
          <w:tcPr>
            <w:tcW w:w="1610" w:type="dxa"/>
            <w:tcBorders>
              <w:top w:val="nil"/>
              <w:left w:val="nil"/>
              <w:bottom w:val="single" w:sz="4" w:space="0" w:color="auto"/>
              <w:right w:val="single" w:sz="8"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rPr>
            </w:pPr>
          </w:p>
        </w:tc>
      </w:tr>
      <w:tr w:rsidR="007B576D" w:rsidRPr="004376E2" w:rsidTr="002E5868">
        <w:trPr>
          <w:trHeight w:val="270"/>
        </w:trPr>
        <w:tc>
          <w:tcPr>
            <w:tcW w:w="2240" w:type="dxa"/>
            <w:gridSpan w:val="2"/>
            <w:tcBorders>
              <w:top w:val="single" w:sz="8" w:space="0" w:color="auto"/>
              <w:left w:val="single" w:sz="8" w:space="0" w:color="auto"/>
              <w:bottom w:val="single" w:sz="8" w:space="0" w:color="auto"/>
              <w:right w:val="single" w:sz="4" w:space="0" w:color="auto"/>
            </w:tcBorders>
            <w:shd w:val="clear" w:color="auto" w:fill="C0C0C0"/>
            <w:noWrap/>
            <w:vAlign w:val="bottom"/>
          </w:tcPr>
          <w:p w:rsidR="007B576D" w:rsidRPr="004376E2" w:rsidRDefault="007B576D" w:rsidP="007B576D">
            <w:pPr>
              <w:spacing w:after="0" w:line="240" w:lineRule="auto"/>
              <w:jc w:val="both"/>
              <w:rPr>
                <w:rFonts w:ascii="Times New Roman" w:hAnsi="Times New Roman" w:cs="Times New Roman"/>
                <w:b/>
                <w:bCs/>
              </w:rPr>
            </w:pPr>
            <w:r w:rsidRPr="004376E2">
              <w:rPr>
                <w:rFonts w:ascii="Times New Roman" w:hAnsi="Times New Roman" w:cs="Times New Roman"/>
                <w:b/>
                <w:bCs/>
              </w:rPr>
              <w:t>UKUPNO</w:t>
            </w:r>
          </w:p>
        </w:tc>
        <w:tc>
          <w:tcPr>
            <w:tcW w:w="1862" w:type="dxa"/>
            <w:gridSpan w:val="2"/>
            <w:tcBorders>
              <w:top w:val="single" w:sz="8" w:space="0" w:color="auto"/>
              <w:left w:val="single" w:sz="8" w:space="0" w:color="auto"/>
              <w:bottom w:val="single" w:sz="8" w:space="0" w:color="auto"/>
              <w:right w:val="single" w:sz="8" w:space="0" w:color="auto"/>
            </w:tcBorders>
            <w:shd w:val="clear" w:color="auto" w:fill="C0C0C0"/>
            <w:noWrap/>
            <w:vAlign w:val="bottom"/>
          </w:tcPr>
          <w:p w:rsidR="007B576D" w:rsidRPr="004376E2" w:rsidRDefault="007B576D" w:rsidP="007B576D">
            <w:pPr>
              <w:spacing w:after="0" w:line="240" w:lineRule="auto"/>
              <w:jc w:val="both"/>
              <w:rPr>
                <w:rFonts w:ascii="Times New Roman" w:hAnsi="Times New Roman" w:cs="Times New Roman"/>
                <w:b/>
                <w:bCs/>
              </w:rPr>
            </w:pPr>
          </w:p>
        </w:tc>
        <w:tc>
          <w:tcPr>
            <w:tcW w:w="2236" w:type="dxa"/>
            <w:gridSpan w:val="3"/>
            <w:tcBorders>
              <w:top w:val="single" w:sz="8" w:space="0" w:color="auto"/>
              <w:left w:val="nil"/>
              <w:bottom w:val="single" w:sz="8" w:space="0" w:color="auto"/>
              <w:right w:val="single" w:sz="8" w:space="0" w:color="auto"/>
            </w:tcBorders>
            <w:shd w:val="clear" w:color="auto" w:fill="C0C0C0"/>
            <w:noWrap/>
            <w:vAlign w:val="bottom"/>
          </w:tcPr>
          <w:p w:rsidR="007B576D" w:rsidRPr="004376E2" w:rsidRDefault="007B576D" w:rsidP="007B576D">
            <w:pPr>
              <w:spacing w:after="0" w:line="240" w:lineRule="auto"/>
              <w:jc w:val="both"/>
              <w:rPr>
                <w:rFonts w:ascii="Times New Roman" w:hAnsi="Times New Roman" w:cs="Times New Roman"/>
                <w:b/>
                <w:bCs/>
              </w:rPr>
            </w:pPr>
          </w:p>
        </w:tc>
        <w:tc>
          <w:tcPr>
            <w:tcW w:w="2047" w:type="dxa"/>
            <w:gridSpan w:val="3"/>
            <w:tcBorders>
              <w:top w:val="single" w:sz="8" w:space="0" w:color="auto"/>
              <w:left w:val="nil"/>
              <w:bottom w:val="single" w:sz="8" w:space="0" w:color="auto"/>
              <w:right w:val="single" w:sz="8" w:space="0" w:color="auto"/>
            </w:tcBorders>
            <w:shd w:val="clear" w:color="auto" w:fill="C0C0C0"/>
            <w:noWrap/>
            <w:vAlign w:val="bottom"/>
          </w:tcPr>
          <w:p w:rsidR="007B576D" w:rsidRPr="004376E2" w:rsidRDefault="007B576D" w:rsidP="007B576D">
            <w:pPr>
              <w:spacing w:after="0" w:line="240" w:lineRule="auto"/>
              <w:jc w:val="both"/>
              <w:rPr>
                <w:rFonts w:ascii="Times New Roman" w:hAnsi="Times New Roman" w:cs="Times New Roman"/>
                <w:b/>
                <w:bCs/>
              </w:rPr>
            </w:pPr>
          </w:p>
        </w:tc>
        <w:tc>
          <w:tcPr>
            <w:tcW w:w="1610" w:type="dxa"/>
            <w:tcBorders>
              <w:top w:val="single" w:sz="8" w:space="0" w:color="auto"/>
              <w:left w:val="nil"/>
              <w:bottom w:val="single" w:sz="8" w:space="0" w:color="auto"/>
              <w:right w:val="single" w:sz="8" w:space="0" w:color="auto"/>
            </w:tcBorders>
            <w:shd w:val="clear" w:color="auto" w:fill="C0C0C0"/>
            <w:noWrap/>
            <w:vAlign w:val="bottom"/>
          </w:tcPr>
          <w:p w:rsidR="007B576D" w:rsidRPr="004376E2" w:rsidRDefault="007B576D" w:rsidP="007B576D">
            <w:pPr>
              <w:spacing w:after="0" w:line="240" w:lineRule="auto"/>
              <w:jc w:val="both"/>
              <w:rPr>
                <w:rFonts w:ascii="Times New Roman" w:hAnsi="Times New Roman" w:cs="Times New Roman"/>
                <w:b/>
                <w:bCs/>
              </w:rPr>
            </w:pPr>
          </w:p>
        </w:tc>
      </w:tr>
      <w:tr w:rsidR="007B576D" w:rsidRPr="004376E2" w:rsidTr="002E5868">
        <w:trPr>
          <w:trHeight w:val="270"/>
        </w:trPr>
        <w:tc>
          <w:tcPr>
            <w:tcW w:w="8385" w:type="dxa"/>
            <w:gridSpan w:val="10"/>
            <w:tcBorders>
              <w:top w:val="nil"/>
              <w:left w:val="nil"/>
              <w:bottom w:val="single" w:sz="8" w:space="0" w:color="auto"/>
              <w:right w:val="nil"/>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b/>
                <w:bCs/>
                <w:lang w:val="pl-PL"/>
              </w:rPr>
            </w:pPr>
          </w:p>
          <w:p w:rsidR="007B576D" w:rsidRPr="004376E2" w:rsidRDefault="00EC6639" w:rsidP="007B576D">
            <w:pPr>
              <w:spacing w:after="0" w:line="240" w:lineRule="auto"/>
              <w:jc w:val="both"/>
              <w:rPr>
                <w:rFonts w:ascii="Times New Roman" w:hAnsi="Times New Roman" w:cs="Times New Roman"/>
                <w:b/>
                <w:bCs/>
                <w:lang w:val="pl-PL"/>
              </w:rPr>
            </w:pPr>
            <w:r w:rsidRPr="004376E2">
              <w:rPr>
                <w:rFonts w:ascii="Times New Roman" w:hAnsi="Times New Roman" w:cs="Times New Roman"/>
                <w:b/>
                <w:bCs/>
                <w:lang w:val="pl-PL"/>
              </w:rPr>
              <w:t>Kratkoročne i dugor</w:t>
            </w:r>
            <w:r w:rsidR="005D5D64">
              <w:rPr>
                <w:rFonts w:ascii="Times New Roman" w:hAnsi="Times New Roman" w:cs="Times New Roman"/>
                <w:b/>
                <w:bCs/>
                <w:lang w:val="pl-PL"/>
              </w:rPr>
              <w:t>očne obaveze po osnovu glavnice</w:t>
            </w:r>
            <w:r w:rsidRPr="004376E2">
              <w:rPr>
                <w:rFonts w:ascii="Times New Roman" w:hAnsi="Times New Roman" w:cs="Times New Roman"/>
                <w:b/>
                <w:bCs/>
                <w:lang w:val="pl-PL"/>
              </w:rPr>
              <w:t xml:space="preserve"> na kraju godine (meto</w:t>
            </w:r>
            <w:r>
              <w:rPr>
                <w:rFonts w:ascii="Times New Roman" w:hAnsi="Times New Roman" w:cs="Times New Roman"/>
                <w:b/>
                <w:bCs/>
                <w:lang w:val="pl-PL"/>
              </w:rPr>
              <w:t>d jednakih anuiteta</w:t>
            </w:r>
            <w:r w:rsidRPr="004376E2">
              <w:rPr>
                <w:rFonts w:ascii="Times New Roman" w:hAnsi="Times New Roman" w:cs="Times New Roman"/>
                <w:b/>
                <w:bCs/>
                <w:lang w:val="pl-PL"/>
              </w:rPr>
              <w:t>)</w:t>
            </w:r>
          </w:p>
        </w:tc>
        <w:tc>
          <w:tcPr>
            <w:tcW w:w="1610" w:type="dxa"/>
            <w:tcBorders>
              <w:top w:val="nil"/>
              <w:left w:val="nil"/>
              <w:bottom w:val="nil"/>
              <w:right w:val="nil"/>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b/>
                <w:bCs/>
              </w:rPr>
            </w:pPr>
            <w:r w:rsidRPr="004376E2">
              <w:rPr>
                <w:rFonts w:ascii="Times New Roman" w:hAnsi="Times New Roman" w:cs="Times New Roman"/>
                <w:b/>
                <w:bCs/>
              </w:rPr>
              <w:t xml:space="preserve">u EUR </w:t>
            </w:r>
          </w:p>
        </w:tc>
      </w:tr>
      <w:tr w:rsidR="007B576D" w:rsidRPr="004376E2" w:rsidTr="002E5868">
        <w:trPr>
          <w:trHeight w:val="270"/>
        </w:trPr>
        <w:tc>
          <w:tcPr>
            <w:tcW w:w="3885" w:type="dxa"/>
            <w:gridSpan w:val="3"/>
            <w:tcBorders>
              <w:top w:val="nil"/>
              <w:left w:val="single" w:sz="8" w:space="0" w:color="auto"/>
              <w:bottom w:val="single" w:sz="8" w:space="0" w:color="auto"/>
              <w:right w:val="single" w:sz="8" w:space="0" w:color="auto"/>
            </w:tcBorders>
            <w:shd w:val="clear" w:color="9999FF" w:fill="C0C0C0"/>
            <w:noWrap/>
            <w:vAlign w:val="bottom"/>
          </w:tcPr>
          <w:p w:rsidR="007B576D" w:rsidRPr="004376E2" w:rsidRDefault="007B576D" w:rsidP="007B576D">
            <w:pPr>
              <w:spacing w:after="0" w:line="240" w:lineRule="auto"/>
              <w:jc w:val="both"/>
              <w:rPr>
                <w:rFonts w:ascii="Times New Roman" w:hAnsi="Times New Roman" w:cs="Times New Roman"/>
                <w:b/>
                <w:bCs/>
                <w:i/>
                <w:iCs/>
              </w:rPr>
            </w:pPr>
            <w:proofErr w:type="spellStart"/>
            <w:r w:rsidRPr="004376E2">
              <w:rPr>
                <w:rFonts w:ascii="Times New Roman" w:hAnsi="Times New Roman" w:cs="Times New Roman"/>
                <w:b/>
                <w:bCs/>
                <w:i/>
                <w:iCs/>
              </w:rPr>
              <w:t>Ročnost</w:t>
            </w:r>
            <w:proofErr w:type="spellEnd"/>
            <w:r w:rsidR="002E5868">
              <w:rPr>
                <w:rFonts w:ascii="Times New Roman" w:hAnsi="Times New Roman" w:cs="Times New Roman"/>
                <w:b/>
                <w:bCs/>
                <w:i/>
                <w:iCs/>
              </w:rPr>
              <w:t xml:space="preserve"> </w:t>
            </w:r>
            <w:proofErr w:type="spellStart"/>
            <w:r w:rsidRPr="004376E2">
              <w:rPr>
                <w:rFonts w:ascii="Times New Roman" w:hAnsi="Times New Roman" w:cs="Times New Roman"/>
                <w:b/>
                <w:bCs/>
                <w:i/>
                <w:iCs/>
              </w:rPr>
              <w:t>obaveze</w:t>
            </w:r>
            <w:proofErr w:type="spellEnd"/>
          </w:p>
        </w:tc>
        <w:tc>
          <w:tcPr>
            <w:tcW w:w="1372" w:type="dxa"/>
            <w:gridSpan w:val="3"/>
            <w:tcBorders>
              <w:top w:val="nil"/>
              <w:left w:val="nil"/>
              <w:bottom w:val="single" w:sz="8" w:space="0" w:color="auto"/>
              <w:right w:val="single" w:sz="8" w:space="0" w:color="auto"/>
            </w:tcBorders>
            <w:shd w:val="clear" w:color="auto" w:fill="C0C0C0"/>
            <w:noWrap/>
            <w:vAlign w:val="bottom"/>
          </w:tcPr>
          <w:p w:rsidR="007B576D" w:rsidRPr="004376E2" w:rsidRDefault="007B576D" w:rsidP="007B576D">
            <w:pPr>
              <w:spacing w:after="0" w:line="240" w:lineRule="auto"/>
              <w:jc w:val="both"/>
              <w:rPr>
                <w:rFonts w:ascii="Times New Roman" w:hAnsi="Times New Roman" w:cs="Times New Roman"/>
                <w:b/>
                <w:bCs/>
                <w:i/>
                <w:iCs/>
              </w:rPr>
            </w:pPr>
            <w:r w:rsidRPr="004376E2">
              <w:rPr>
                <w:rFonts w:ascii="Times New Roman" w:hAnsi="Times New Roman" w:cs="Times New Roman"/>
                <w:b/>
                <w:bCs/>
                <w:i/>
                <w:iCs/>
              </w:rPr>
              <w:t>2005</w:t>
            </w:r>
          </w:p>
        </w:tc>
        <w:tc>
          <w:tcPr>
            <w:tcW w:w="1508" w:type="dxa"/>
            <w:gridSpan w:val="3"/>
            <w:tcBorders>
              <w:top w:val="nil"/>
              <w:left w:val="nil"/>
              <w:bottom w:val="single" w:sz="8" w:space="0" w:color="auto"/>
              <w:right w:val="single" w:sz="8" w:space="0" w:color="auto"/>
            </w:tcBorders>
            <w:shd w:val="clear" w:color="auto" w:fill="C0C0C0"/>
            <w:noWrap/>
            <w:vAlign w:val="bottom"/>
          </w:tcPr>
          <w:p w:rsidR="007B576D" w:rsidRPr="004376E2" w:rsidRDefault="007B576D" w:rsidP="007B576D">
            <w:pPr>
              <w:spacing w:after="0" w:line="240" w:lineRule="auto"/>
              <w:jc w:val="both"/>
              <w:rPr>
                <w:rFonts w:ascii="Times New Roman" w:hAnsi="Times New Roman" w:cs="Times New Roman"/>
                <w:b/>
                <w:bCs/>
                <w:i/>
                <w:iCs/>
              </w:rPr>
            </w:pPr>
            <w:r w:rsidRPr="004376E2">
              <w:rPr>
                <w:rFonts w:ascii="Times New Roman" w:hAnsi="Times New Roman" w:cs="Times New Roman"/>
                <w:b/>
                <w:bCs/>
                <w:i/>
                <w:iCs/>
              </w:rPr>
              <w:t>2006</w:t>
            </w:r>
          </w:p>
        </w:tc>
        <w:tc>
          <w:tcPr>
            <w:tcW w:w="1620" w:type="dxa"/>
            <w:tcBorders>
              <w:top w:val="nil"/>
              <w:left w:val="nil"/>
              <w:bottom w:val="single" w:sz="8" w:space="0" w:color="auto"/>
              <w:right w:val="single" w:sz="8" w:space="0" w:color="auto"/>
            </w:tcBorders>
            <w:shd w:val="clear" w:color="auto" w:fill="C0C0C0"/>
            <w:noWrap/>
            <w:vAlign w:val="bottom"/>
          </w:tcPr>
          <w:p w:rsidR="007B576D" w:rsidRPr="004376E2" w:rsidRDefault="007B576D" w:rsidP="007B576D">
            <w:pPr>
              <w:spacing w:after="0" w:line="240" w:lineRule="auto"/>
              <w:jc w:val="both"/>
              <w:rPr>
                <w:rFonts w:ascii="Times New Roman" w:hAnsi="Times New Roman" w:cs="Times New Roman"/>
                <w:b/>
                <w:bCs/>
                <w:i/>
                <w:iCs/>
              </w:rPr>
            </w:pPr>
            <w:r w:rsidRPr="004376E2">
              <w:rPr>
                <w:rFonts w:ascii="Times New Roman" w:hAnsi="Times New Roman" w:cs="Times New Roman"/>
                <w:b/>
                <w:bCs/>
                <w:i/>
                <w:iCs/>
              </w:rPr>
              <w:t>2007</w:t>
            </w:r>
          </w:p>
        </w:tc>
        <w:tc>
          <w:tcPr>
            <w:tcW w:w="1610" w:type="dxa"/>
            <w:tcBorders>
              <w:top w:val="single" w:sz="8" w:space="0" w:color="auto"/>
              <w:left w:val="nil"/>
              <w:bottom w:val="single" w:sz="8" w:space="0" w:color="auto"/>
              <w:right w:val="single" w:sz="8" w:space="0" w:color="auto"/>
            </w:tcBorders>
            <w:shd w:val="clear" w:color="auto" w:fill="C0C0C0"/>
            <w:noWrap/>
            <w:vAlign w:val="bottom"/>
          </w:tcPr>
          <w:p w:rsidR="007B576D" w:rsidRPr="004376E2" w:rsidRDefault="007B576D" w:rsidP="007B576D">
            <w:pPr>
              <w:spacing w:after="0" w:line="240" w:lineRule="auto"/>
              <w:jc w:val="both"/>
              <w:rPr>
                <w:rFonts w:ascii="Times New Roman" w:hAnsi="Times New Roman" w:cs="Times New Roman"/>
                <w:b/>
                <w:bCs/>
                <w:i/>
                <w:iCs/>
              </w:rPr>
            </w:pPr>
            <w:r w:rsidRPr="004376E2">
              <w:rPr>
                <w:rFonts w:ascii="Times New Roman" w:hAnsi="Times New Roman" w:cs="Times New Roman"/>
                <w:b/>
                <w:bCs/>
                <w:i/>
                <w:iCs/>
              </w:rPr>
              <w:t>2008</w:t>
            </w:r>
          </w:p>
        </w:tc>
      </w:tr>
      <w:tr w:rsidR="007B576D" w:rsidRPr="004376E2" w:rsidTr="002E5868">
        <w:trPr>
          <w:trHeight w:val="255"/>
        </w:trPr>
        <w:tc>
          <w:tcPr>
            <w:tcW w:w="3885" w:type="dxa"/>
            <w:gridSpan w:val="3"/>
            <w:tcBorders>
              <w:top w:val="nil"/>
              <w:left w:val="single" w:sz="8" w:space="0" w:color="auto"/>
              <w:bottom w:val="single" w:sz="4" w:space="0" w:color="auto"/>
              <w:right w:val="single" w:sz="4"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lang w:val="pl-PL"/>
              </w:rPr>
            </w:pPr>
            <w:r w:rsidRPr="004376E2">
              <w:rPr>
                <w:rFonts w:ascii="Times New Roman" w:hAnsi="Times New Roman" w:cs="Times New Roman"/>
                <w:lang w:val="pl-PL"/>
              </w:rPr>
              <w:t>Obaveze koje dospevaju naredne godine</w:t>
            </w:r>
          </w:p>
        </w:tc>
        <w:tc>
          <w:tcPr>
            <w:tcW w:w="1372" w:type="dxa"/>
            <w:gridSpan w:val="3"/>
            <w:tcBorders>
              <w:top w:val="nil"/>
              <w:left w:val="single" w:sz="8" w:space="0" w:color="auto"/>
              <w:bottom w:val="single" w:sz="4" w:space="0" w:color="auto"/>
              <w:right w:val="single" w:sz="8"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rPr>
            </w:pPr>
            <w:r w:rsidRPr="004376E2">
              <w:rPr>
                <w:rFonts w:ascii="Times New Roman" w:hAnsi="Times New Roman" w:cs="Times New Roman"/>
              </w:rPr>
              <w:t xml:space="preserve">0.00    </w:t>
            </w:r>
          </w:p>
        </w:tc>
        <w:tc>
          <w:tcPr>
            <w:tcW w:w="1508" w:type="dxa"/>
            <w:gridSpan w:val="3"/>
            <w:tcBorders>
              <w:top w:val="nil"/>
              <w:left w:val="nil"/>
              <w:bottom w:val="single" w:sz="4" w:space="0" w:color="auto"/>
              <w:right w:val="single" w:sz="8"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rPr>
            </w:pPr>
          </w:p>
        </w:tc>
        <w:tc>
          <w:tcPr>
            <w:tcW w:w="1620" w:type="dxa"/>
            <w:tcBorders>
              <w:top w:val="nil"/>
              <w:left w:val="nil"/>
              <w:bottom w:val="single" w:sz="4" w:space="0" w:color="auto"/>
              <w:right w:val="single" w:sz="8"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rPr>
            </w:pPr>
          </w:p>
        </w:tc>
        <w:tc>
          <w:tcPr>
            <w:tcW w:w="1610" w:type="dxa"/>
            <w:tcBorders>
              <w:top w:val="nil"/>
              <w:left w:val="nil"/>
              <w:bottom w:val="single" w:sz="4" w:space="0" w:color="auto"/>
              <w:right w:val="single" w:sz="8"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rPr>
            </w:pPr>
          </w:p>
        </w:tc>
      </w:tr>
      <w:tr w:rsidR="007B576D" w:rsidRPr="004376E2" w:rsidTr="002E5868">
        <w:trPr>
          <w:trHeight w:val="270"/>
        </w:trPr>
        <w:tc>
          <w:tcPr>
            <w:tcW w:w="3885" w:type="dxa"/>
            <w:gridSpan w:val="3"/>
            <w:tcBorders>
              <w:top w:val="nil"/>
              <w:left w:val="single" w:sz="8" w:space="0" w:color="auto"/>
              <w:bottom w:val="single" w:sz="4" w:space="0" w:color="auto"/>
              <w:right w:val="single" w:sz="4"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rPr>
            </w:pPr>
            <w:proofErr w:type="spellStart"/>
            <w:r w:rsidRPr="004376E2">
              <w:rPr>
                <w:rFonts w:ascii="Times New Roman" w:hAnsi="Times New Roman" w:cs="Times New Roman"/>
              </w:rPr>
              <w:t>Dugoročne</w:t>
            </w:r>
            <w:proofErr w:type="spellEnd"/>
            <w:r w:rsidR="00EC6639">
              <w:rPr>
                <w:rFonts w:ascii="Times New Roman" w:hAnsi="Times New Roman" w:cs="Times New Roman"/>
              </w:rPr>
              <w:t xml:space="preserve"> </w:t>
            </w:r>
            <w:proofErr w:type="spellStart"/>
            <w:r w:rsidRPr="004376E2">
              <w:rPr>
                <w:rFonts w:ascii="Times New Roman" w:hAnsi="Times New Roman" w:cs="Times New Roman"/>
              </w:rPr>
              <w:t>obaveze</w:t>
            </w:r>
            <w:proofErr w:type="spellEnd"/>
          </w:p>
        </w:tc>
        <w:tc>
          <w:tcPr>
            <w:tcW w:w="1372" w:type="dxa"/>
            <w:gridSpan w:val="3"/>
            <w:tcBorders>
              <w:top w:val="nil"/>
              <w:left w:val="single" w:sz="8" w:space="0" w:color="auto"/>
              <w:bottom w:val="single" w:sz="4" w:space="0" w:color="auto"/>
              <w:right w:val="single" w:sz="8"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rPr>
            </w:pPr>
            <w:r w:rsidRPr="004376E2">
              <w:rPr>
                <w:rFonts w:ascii="Times New Roman" w:hAnsi="Times New Roman" w:cs="Times New Roman"/>
              </w:rPr>
              <w:t xml:space="preserve">1,024,404.42    </w:t>
            </w:r>
          </w:p>
        </w:tc>
        <w:tc>
          <w:tcPr>
            <w:tcW w:w="1508" w:type="dxa"/>
            <w:gridSpan w:val="3"/>
            <w:tcBorders>
              <w:top w:val="nil"/>
              <w:left w:val="nil"/>
              <w:bottom w:val="single" w:sz="4" w:space="0" w:color="auto"/>
              <w:right w:val="single" w:sz="8"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rPr>
            </w:pPr>
          </w:p>
        </w:tc>
        <w:tc>
          <w:tcPr>
            <w:tcW w:w="1620" w:type="dxa"/>
            <w:tcBorders>
              <w:top w:val="nil"/>
              <w:left w:val="nil"/>
              <w:bottom w:val="single" w:sz="4" w:space="0" w:color="auto"/>
              <w:right w:val="single" w:sz="8"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rPr>
            </w:pPr>
          </w:p>
        </w:tc>
        <w:tc>
          <w:tcPr>
            <w:tcW w:w="1610" w:type="dxa"/>
            <w:tcBorders>
              <w:top w:val="nil"/>
              <w:left w:val="nil"/>
              <w:bottom w:val="single" w:sz="4" w:space="0" w:color="auto"/>
              <w:right w:val="single" w:sz="8" w:space="0" w:color="auto"/>
            </w:tcBorders>
            <w:shd w:val="clear" w:color="auto" w:fill="auto"/>
            <w:noWrap/>
            <w:vAlign w:val="bottom"/>
          </w:tcPr>
          <w:p w:rsidR="007B576D" w:rsidRPr="004376E2" w:rsidRDefault="007B576D" w:rsidP="007B576D">
            <w:pPr>
              <w:spacing w:after="0" w:line="240" w:lineRule="auto"/>
              <w:jc w:val="both"/>
              <w:rPr>
                <w:rFonts w:ascii="Times New Roman" w:hAnsi="Times New Roman" w:cs="Times New Roman"/>
              </w:rPr>
            </w:pPr>
          </w:p>
        </w:tc>
      </w:tr>
      <w:tr w:rsidR="007B576D" w:rsidRPr="004376E2" w:rsidTr="002E5868">
        <w:trPr>
          <w:trHeight w:val="270"/>
        </w:trPr>
        <w:tc>
          <w:tcPr>
            <w:tcW w:w="3885" w:type="dxa"/>
            <w:gridSpan w:val="3"/>
            <w:tcBorders>
              <w:top w:val="single" w:sz="8" w:space="0" w:color="auto"/>
              <w:left w:val="single" w:sz="8" w:space="0" w:color="auto"/>
              <w:bottom w:val="single" w:sz="8" w:space="0" w:color="auto"/>
              <w:right w:val="single" w:sz="4" w:space="0" w:color="auto"/>
            </w:tcBorders>
            <w:shd w:val="clear" w:color="auto" w:fill="C0C0C0"/>
            <w:noWrap/>
            <w:vAlign w:val="bottom"/>
          </w:tcPr>
          <w:p w:rsidR="007B576D" w:rsidRPr="004376E2" w:rsidRDefault="007B576D" w:rsidP="007B576D">
            <w:pPr>
              <w:spacing w:after="0" w:line="240" w:lineRule="auto"/>
              <w:jc w:val="both"/>
              <w:rPr>
                <w:rFonts w:ascii="Times New Roman" w:hAnsi="Times New Roman" w:cs="Times New Roman"/>
                <w:b/>
                <w:bCs/>
              </w:rPr>
            </w:pPr>
            <w:r w:rsidRPr="004376E2">
              <w:rPr>
                <w:rFonts w:ascii="Times New Roman" w:hAnsi="Times New Roman" w:cs="Times New Roman"/>
                <w:b/>
                <w:bCs/>
              </w:rPr>
              <w:t>UKUPNO</w:t>
            </w:r>
          </w:p>
        </w:tc>
        <w:tc>
          <w:tcPr>
            <w:tcW w:w="1372" w:type="dxa"/>
            <w:gridSpan w:val="3"/>
            <w:tcBorders>
              <w:top w:val="single" w:sz="8" w:space="0" w:color="auto"/>
              <w:left w:val="single" w:sz="8" w:space="0" w:color="auto"/>
              <w:bottom w:val="single" w:sz="8" w:space="0" w:color="auto"/>
              <w:right w:val="single" w:sz="8" w:space="0" w:color="auto"/>
            </w:tcBorders>
            <w:shd w:val="clear" w:color="auto" w:fill="C0C0C0"/>
            <w:noWrap/>
            <w:vAlign w:val="bottom"/>
          </w:tcPr>
          <w:p w:rsidR="007B576D" w:rsidRPr="004376E2" w:rsidRDefault="007B576D" w:rsidP="007B576D">
            <w:pPr>
              <w:spacing w:after="0" w:line="240" w:lineRule="auto"/>
              <w:jc w:val="both"/>
              <w:rPr>
                <w:rFonts w:ascii="Times New Roman" w:hAnsi="Times New Roman" w:cs="Times New Roman"/>
                <w:b/>
                <w:bCs/>
              </w:rPr>
            </w:pPr>
            <w:r w:rsidRPr="004376E2">
              <w:rPr>
                <w:rFonts w:ascii="Times New Roman" w:hAnsi="Times New Roman" w:cs="Times New Roman"/>
                <w:b/>
                <w:bCs/>
              </w:rPr>
              <w:t xml:space="preserve">1,024,404.42    </w:t>
            </w:r>
          </w:p>
        </w:tc>
        <w:tc>
          <w:tcPr>
            <w:tcW w:w="1508" w:type="dxa"/>
            <w:gridSpan w:val="3"/>
            <w:tcBorders>
              <w:top w:val="single" w:sz="8" w:space="0" w:color="auto"/>
              <w:left w:val="nil"/>
              <w:bottom w:val="single" w:sz="8" w:space="0" w:color="auto"/>
              <w:right w:val="single" w:sz="8" w:space="0" w:color="auto"/>
            </w:tcBorders>
            <w:shd w:val="clear" w:color="auto" w:fill="C0C0C0"/>
            <w:noWrap/>
            <w:vAlign w:val="bottom"/>
          </w:tcPr>
          <w:p w:rsidR="007B576D" w:rsidRPr="004376E2" w:rsidRDefault="007B576D" w:rsidP="007B576D">
            <w:pPr>
              <w:spacing w:after="0" w:line="240" w:lineRule="auto"/>
              <w:jc w:val="both"/>
              <w:rPr>
                <w:rFonts w:ascii="Times New Roman" w:hAnsi="Times New Roman" w:cs="Times New Roman"/>
                <w:b/>
                <w:bCs/>
              </w:rPr>
            </w:pPr>
          </w:p>
        </w:tc>
        <w:tc>
          <w:tcPr>
            <w:tcW w:w="1620" w:type="dxa"/>
            <w:tcBorders>
              <w:top w:val="single" w:sz="8" w:space="0" w:color="auto"/>
              <w:left w:val="nil"/>
              <w:bottom w:val="single" w:sz="8" w:space="0" w:color="auto"/>
              <w:right w:val="single" w:sz="8" w:space="0" w:color="auto"/>
            </w:tcBorders>
            <w:shd w:val="clear" w:color="auto" w:fill="C0C0C0"/>
            <w:noWrap/>
            <w:vAlign w:val="bottom"/>
          </w:tcPr>
          <w:p w:rsidR="007B576D" w:rsidRPr="004376E2" w:rsidRDefault="007B576D" w:rsidP="007B576D">
            <w:pPr>
              <w:spacing w:after="0" w:line="240" w:lineRule="auto"/>
              <w:jc w:val="both"/>
              <w:rPr>
                <w:rFonts w:ascii="Times New Roman" w:hAnsi="Times New Roman" w:cs="Times New Roman"/>
                <w:b/>
                <w:bCs/>
              </w:rPr>
            </w:pPr>
          </w:p>
        </w:tc>
        <w:tc>
          <w:tcPr>
            <w:tcW w:w="1610" w:type="dxa"/>
            <w:tcBorders>
              <w:top w:val="single" w:sz="8" w:space="0" w:color="auto"/>
              <w:left w:val="nil"/>
              <w:bottom w:val="single" w:sz="8" w:space="0" w:color="auto"/>
              <w:right w:val="single" w:sz="8" w:space="0" w:color="auto"/>
            </w:tcBorders>
            <w:shd w:val="clear" w:color="auto" w:fill="C0C0C0"/>
            <w:noWrap/>
            <w:vAlign w:val="bottom"/>
          </w:tcPr>
          <w:p w:rsidR="007B576D" w:rsidRPr="004376E2" w:rsidRDefault="007B576D" w:rsidP="007B576D">
            <w:pPr>
              <w:spacing w:after="0" w:line="240" w:lineRule="auto"/>
              <w:jc w:val="both"/>
              <w:rPr>
                <w:rFonts w:ascii="Times New Roman" w:hAnsi="Times New Roman" w:cs="Times New Roman"/>
                <w:b/>
                <w:bCs/>
              </w:rPr>
            </w:pPr>
          </w:p>
        </w:tc>
      </w:tr>
    </w:tbl>
    <w:p w:rsidR="00651D44" w:rsidRPr="004376E2" w:rsidRDefault="002E5868" w:rsidP="007B576D">
      <w:pPr>
        <w:spacing w:line="240" w:lineRule="auto"/>
        <w:jc w:val="both"/>
      </w:pPr>
    </w:p>
    <w:p w:rsidR="007B576D" w:rsidRPr="004376E2" w:rsidRDefault="007B576D">
      <w:bookmarkStart w:id="0" w:name="_GoBack"/>
      <w:bookmarkEnd w:id="0"/>
    </w:p>
    <w:sectPr w:rsidR="007B576D" w:rsidRPr="004376E2" w:rsidSect="007A7E9C">
      <w:pgSz w:w="12240" w:h="15840"/>
      <w:pgMar w:top="720" w:right="758" w:bottom="630"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44AE"/>
    <w:multiLevelType w:val="hybridMultilevel"/>
    <w:tmpl w:val="1E9CCADE"/>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213F2CE7"/>
    <w:multiLevelType w:val="hybridMultilevel"/>
    <w:tmpl w:val="A516CCB8"/>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5AE1"/>
    <w:multiLevelType w:val="hybridMultilevel"/>
    <w:tmpl w:val="82E63DEE"/>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3E254E78"/>
    <w:multiLevelType w:val="hybridMultilevel"/>
    <w:tmpl w:val="40846AD0"/>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409F4B63"/>
    <w:multiLevelType w:val="hybridMultilevel"/>
    <w:tmpl w:val="CD7A73B4"/>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61A42137"/>
    <w:multiLevelType w:val="multilevel"/>
    <w:tmpl w:val="69B60494"/>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68E60E96"/>
    <w:multiLevelType w:val="hybridMultilevel"/>
    <w:tmpl w:val="3ED868B8"/>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6EA61FBE"/>
    <w:multiLevelType w:val="hybridMultilevel"/>
    <w:tmpl w:val="5CF6D3AA"/>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79F16F95"/>
    <w:multiLevelType w:val="hybridMultilevel"/>
    <w:tmpl w:val="D5E65124"/>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7"/>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7B576D"/>
    <w:rsid w:val="000B0811"/>
    <w:rsid w:val="002E5868"/>
    <w:rsid w:val="00400E82"/>
    <w:rsid w:val="004376E2"/>
    <w:rsid w:val="005D5D64"/>
    <w:rsid w:val="007524AF"/>
    <w:rsid w:val="00775ACA"/>
    <w:rsid w:val="007A7E9C"/>
    <w:rsid w:val="007B11EE"/>
    <w:rsid w:val="007B576D"/>
    <w:rsid w:val="007D2F48"/>
    <w:rsid w:val="00996C09"/>
    <w:rsid w:val="00B21F4E"/>
    <w:rsid w:val="00B62C9E"/>
    <w:rsid w:val="00E027B9"/>
    <w:rsid w:val="00EC6639"/>
    <w:rsid w:val="00FB72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849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 Vindžanović</dc:creator>
  <cp:lastModifiedBy>Windows User</cp:lastModifiedBy>
  <cp:revision>11</cp:revision>
  <cp:lastPrinted>2019-01-13T16:41:00Z</cp:lastPrinted>
  <dcterms:created xsi:type="dcterms:W3CDTF">2018-12-17T11:13:00Z</dcterms:created>
  <dcterms:modified xsi:type="dcterms:W3CDTF">2019-01-13T17:16:00Z</dcterms:modified>
</cp:coreProperties>
</file>