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369" w:rsidRDefault="007C6369" w:rsidP="002B332E">
      <w:pPr>
        <w:ind w:left="0" w:right="4" w:firstLine="0"/>
        <w:rPr>
          <w:lang w:val="sr-Cyrl-CS"/>
        </w:rPr>
      </w:pPr>
    </w:p>
    <w:p w:rsidR="007C6369" w:rsidRPr="00AE518C" w:rsidRDefault="00AE518C" w:rsidP="00595C20">
      <w:pPr>
        <w:ind w:left="0" w:right="4" w:firstLine="0"/>
        <w:jc w:val="center"/>
        <w:rPr>
          <w:b/>
          <w:i/>
          <w:sz w:val="28"/>
          <w:szCs w:val="28"/>
          <w:lang w:val="sr-Cyrl-CS"/>
        </w:rPr>
      </w:pPr>
      <w:r w:rsidRPr="00AE518C">
        <w:rPr>
          <w:b/>
          <w:i/>
          <w:sz w:val="28"/>
          <w:szCs w:val="28"/>
          <w:lang w:val="sr-Cyrl-CS"/>
        </w:rPr>
        <w:t>ВАР МЕТОДОЛОГИЈА</w:t>
      </w:r>
    </w:p>
    <w:p w:rsidR="007C6369" w:rsidRDefault="007C6369" w:rsidP="002B332E">
      <w:pPr>
        <w:ind w:left="0" w:right="4" w:firstLine="0"/>
        <w:rPr>
          <w:lang w:val="sr-Cyrl-CS"/>
        </w:rPr>
      </w:pPr>
    </w:p>
    <w:p w:rsidR="00DB0A71" w:rsidRDefault="002B332E" w:rsidP="00DB0A71">
      <w:pPr>
        <w:pStyle w:val="ListParagraph"/>
        <w:ind w:left="0" w:right="4" w:firstLine="0"/>
        <w:rPr>
          <w:lang w:val="sr-Cyrl-CS"/>
        </w:rPr>
      </w:pPr>
      <w:r>
        <w:rPr>
          <w:lang w:val="sr-Cyrl-CS"/>
        </w:rPr>
        <w:t xml:space="preserve">ВаР </w:t>
      </w:r>
      <w:r w:rsidR="00A502D1">
        <w:rPr>
          <w:lang w:val="sr-Cyrl-CS"/>
        </w:rPr>
        <w:t>методологија</w:t>
      </w:r>
      <w:r w:rsidR="008D7AB9">
        <w:rPr>
          <w:lang w:val="sr-Cyrl-CS"/>
        </w:rPr>
        <w:t xml:space="preserve"> </w:t>
      </w:r>
      <w:r w:rsidR="00C85631">
        <w:rPr>
          <w:lang w:val="sr-Cyrl-CS"/>
        </w:rPr>
        <w:t>се користи за израчунавање</w:t>
      </w:r>
      <w:r>
        <w:rPr>
          <w:lang w:val="sr-Cyrl-CS"/>
        </w:rPr>
        <w:t xml:space="preserve"> новчан</w:t>
      </w:r>
      <w:r w:rsidR="00C85631">
        <w:rPr>
          <w:lang w:val="sr-Cyrl-CS"/>
        </w:rPr>
        <w:t>ог</w:t>
      </w:r>
      <w:r w:rsidR="005A06AB">
        <w:rPr>
          <w:lang w:val="sr-Cyrl-CS"/>
        </w:rPr>
        <w:t xml:space="preserve"> износ</w:t>
      </w:r>
      <w:r w:rsidR="00C85631">
        <w:rPr>
          <w:lang w:val="sr-Cyrl-CS"/>
        </w:rPr>
        <w:t>а</w:t>
      </w:r>
      <w:r>
        <w:rPr>
          <w:lang w:val="sr-Cyrl-CS"/>
        </w:rPr>
        <w:t xml:space="preserve"> </w:t>
      </w:r>
      <w:r w:rsidR="00A502D1">
        <w:rPr>
          <w:lang w:val="sr-Cyrl-CS"/>
        </w:rPr>
        <w:t>који представља</w:t>
      </w:r>
      <w:r w:rsidR="001078A7">
        <w:rPr>
          <w:lang w:val="sr-Cyrl-CS"/>
        </w:rPr>
        <w:t xml:space="preserve"> процену</w:t>
      </w:r>
      <w:r w:rsidR="00A502D1">
        <w:rPr>
          <w:lang w:val="sr-Cyrl-CS"/>
        </w:rPr>
        <w:t xml:space="preserve"> највећ</w:t>
      </w:r>
      <w:r w:rsidR="001078A7">
        <w:rPr>
          <w:lang w:val="sr-Cyrl-CS"/>
        </w:rPr>
        <w:t>ег</w:t>
      </w:r>
      <w:r w:rsidR="00A502D1">
        <w:rPr>
          <w:lang w:val="sr-Cyrl-CS"/>
        </w:rPr>
        <w:t xml:space="preserve"> губит</w:t>
      </w:r>
      <w:r w:rsidR="001078A7">
        <w:rPr>
          <w:lang w:val="sr-Cyrl-CS"/>
        </w:rPr>
        <w:t>ка</w:t>
      </w:r>
      <w:r w:rsidR="00A502D1">
        <w:rPr>
          <w:lang w:val="sr-Cyrl-CS"/>
        </w:rPr>
        <w:t xml:space="preserve"> </w:t>
      </w:r>
      <w:r w:rsidR="005068F2">
        <w:rPr>
          <w:lang w:val="sr-Cyrl-CS"/>
        </w:rPr>
        <w:t xml:space="preserve">по основу држања неког средства (или портфолиа средстава) </w:t>
      </w:r>
      <w:r>
        <w:rPr>
          <w:lang w:val="sr-Cyrl-CS"/>
        </w:rPr>
        <w:t xml:space="preserve">у </w:t>
      </w:r>
      <w:r w:rsidR="00A502D1">
        <w:rPr>
          <w:lang w:val="sr-Cyrl-CS"/>
        </w:rPr>
        <w:t>оквиру</w:t>
      </w:r>
      <w:r>
        <w:rPr>
          <w:lang w:val="sr-Cyrl-CS"/>
        </w:rPr>
        <w:t xml:space="preserve"> одређеног</w:t>
      </w:r>
      <w:r w:rsidR="00A502D1">
        <w:rPr>
          <w:lang w:val="sr-Cyrl-CS"/>
        </w:rPr>
        <w:t xml:space="preserve"> временског</w:t>
      </w:r>
      <w:r>
        <w:rPr>
          <w:lang w:val="sr-Cyrl-CS"/>
        </w:rPr>
        <w:t xml:space="preserve"> периода</w:t>
      </w:r>
      <w:r w:rsidR="004836C2">
        <w:rPr>
          <w:lang w:val="sr-Latn-CS"/>
        </w:rPr>
        <w:t xml:space="preserve"> </w:t>
      </w:r>
      <w:r w:rsidR="004836C2">
        <w:rPr>
          <w:lang w:val="sr-Cyrl-CS"/>
        </w:rPr>
        <w:t>и</w:t>
      </w:r>
      <w:r w:rsidR="00A502D1">
        <w:rPr>
          <w:lang w:val="sr-Cyrl-CS"/>
        </w:rPr>
        <w:t xml:space="preserve"> са уна</w:t>
      </w:r>
      <w:r w:rsidR="004F254E">
        <w:rPr>
          <w:lang w:val="sr-Cyrl-CS"/>
        </w:rPr>
        <w:t xml:space="preserve">пред изабраним нивоом поверења. </w:t>
      </w:r>
      <w:r w:rsidR="002F1D1B">
        <w:rPr>
          <w:lang w:val="sr-Cyrl-CS"/>
        </w:rPr>
        <w:t>Н</w:t>
      </w:r>
      <w:r>
        <w:rPr>
          <w:lang w:val="sr-Cyrl-CS"/>
        </w:rPr>
        <w:t>иво поверења представља вероватноћу да губитак премаши израчунату</w:t>
      </w:r>
      <w:r w:rsidR="00A502D1">
        <w:rPr>
          <w:lang w:val="sr-Cyrl-CS"/>
        </w:rPr>
        <w:t xml:space="preserve"> </w:t>
      </w:r>
      <w:r>
        <w:rPr>
          <w:lang w:val="sr-Cyrl-CS"/>
        </w:rPr>
        <w:t xml:space="preserve">вредност ВаР-а. На пример, ако дневни ВаР износи </w:t>
      </w:r>
      <w:r w:rsidR="004836C2">
        <w:rPr>
          <w:lang w:val="sr-Cyrl-CS"/>
        </w:rPr>
        <w:t>4</w:t>
      </w:r>
      <w:r>
        <w:rPr>
          <w:lang w:val="sr-Cyrl-CS"/>
        </w:rPr>
        <w:t xml:space="preserve"> милиона евра са нивоом поверења од </w:t>
      </w:r>
      <w:r w:rsidR="004836C2">
        <w:rPr>
          <w:lang w:val="sr-Cyrl-CS"/>
        </w:rPr>
        <w:t>1</w:t>
      </w:r>
      <w:r>
        <w:rPr>
          <w:lang w:val="sr-Cyrl-CS"/>
        </w:rPr>
        <w:t>%, то знач</w:t>
      </w:r>
      <w:r w:rsidR="008C2F64">
        <w:rPr>
          <w:lang w:val="sr-Cyrl-CS"/>
        </w:rPr>
        <w:t>и постоји</w:t>
      </w:r>
      <w:r w:rsidR="004836C2">
        <w:rPr>
          <w:lang w:val="sr-Cyrl-CS"/>
        </w:rPr>
        <w:t>1</w:t>
      </w:r>
      <w:r w:rsidR="008C2F64">
        <w:rPr>
          <w:lang w:val="sr-Cyrl-CS"/>
        </w:rPr>
        <w:t xml:space="preserve">% шанси да у току дана губитак буде већи од </w:t>
      </w:r>
      <w:r w:rsidR="004836C2">
        <w:rPr>
          <w:lang w:val="sr-Cyrl-CS"/>
        </w:rPr>
        <w:t>4</w:t>
      </w:r>
      <w:r w:rsidR="008C2F64">
        <w:rPr>
          <w:lang w:val="sr-Cyrl-CS"/>
        </w:rPr>
        <w:t xml:space="preserve"> милиона евра.</w:t>
      </w:r>
      <w:r w:rsidR="001D6DDD">
        <w:rPr>
          <w:lang w:val="sr-Cyrl-CS"/>
        </w:rPr>
        <w:t xml:space="preserve"> Дакле ВаР говори о потенцијално максималном губитку на портфолиу услед промена на тржишту</w:t>
      </w:r>
      <w:r w:rsidR="006E7D00">
        <w:rPr>
          <w:lang w:val="sr-Cyrl-CS"/>
        </w:rPr>
        <w:t>, као</w:t>
      </w:r>
      <w:r w:rsidR="001D6DDD">
        <w:rPr>
          <w:lang w:val="sr-Cyrl-CS"/>
        </w:rPr>
        <w:t xml:space="preserve"> и о вероватноћи да тај губитак буде премашен.</w:t>
      </w:r>
      <w:r w:rsidR="00DB0A71" w:rsidRPr="00DB0A71">
        <w:rPr>
          <w:lang w:val="sr-Cyrl-CS"/>
        </w:rPr>
        <w:t xml:space="preserve"> </w:t>
      </w:r>
      <w:r w:rsidR="006E7D00">
        <w:rPr>
          <w:lang w:val="sr-Cyrl-CS"/>
        </w:rPr>
        <w:t xml:space="preserve">На нивоу укупне активе, </w:t>
      </w:r>
      <w:r w:rsidR="00DB0A71">
        <w:rPr>
          <w:lang w:val="sr-Cyrl-CS"/>
        </w:rPr>
        <w:t xml:space="preserve">ВаР представља </w:t>
      </w:r>
      <w:r w:rsidR="00DB0A71" w:rsidRPr="002F4D4D">
        <w:rPr>
          <w:b/>
          <w:lang w:val="sr-Cyrl-CS"/>
        </w:rPr>
        <w:t>економски капитал</w:t>
      </w:r>
      <w:r w:rsidR="00DB0A71">
        <w:rPr>
          <w:lang w:val="sr-Cyrl-CS"/>
        </w:rPr>
        <w:t xml:space="preserve"> који институција треба да поседује како би успешно пребродила </w:t>
      </w:r>
      <w:r w:rsidR="006E7D00">
        <w:rPr>
          <w:lang w:val="sr-Cyrl-CS"/>
        </w:rPr>
        <w:t xml:space="preserve">и најнеповољнији </w:t>
      </w:r>
      <w:r w:rsidR="00DB0A71">
        <w:rPr>
          <w:lang w:val="sr-Cyrl-CS"/>
        </w:rPr>
        <w:t>сценарио.</w:t>
      </w:r>
    </w:p>
    <w:p w:rsidR="00553989" w:rsidRDefault="00553989" w:rsidP="002B332E">
      <w:pPr>
        <w:ind w:left="0" w:right="4" w:firstLine="0"/>
        <w:rPr>
          <w:lang w:val="sr-Cyrl-CS"/>
        </w:rPr>
      </w:pPr>
    </w:p>
    <w:p w:rsidR="00553989" w:rsidRDefault="00553989" w:rsidP="002B332E">
      <w:pPr>
        <w:ind w:left="0" w:right="4" w:firstLine="0"/>
        <w:rPr>
          <w:lang w:val="sr-Cyrl-CS"/>
        </w:rPr>
      </w:pPr>
      <w:r>
        <w:rPr>
          <w:lang w:val="sr-Cyrl-CS"/>
        </w:rPr>
        <w:t>Основне методе које се користе при рачунању ВаР-а су:</w:t>
      </w:r>
    </w:p>
    <w:p w:rsidR="00553989" w:rsidRDefault="00553989" w:rsidP="002B332E">
      <w:pPr>
        <w:ind w:left="0" w:right="4" w:firstLine="0"/>
        <w:rPr>
          <w:lang w:val="sr-Cyrl-CS"/>
        </w:rPr>
      </w:pPr>
    </w:p>
    <w:p w:rsidR="00553989" w:rsidRDefault="00553989" w:rsidP="00553989">
      <w:pPr>
        <w:pStyle w:val="ListParagraph"/>
        <w:numPr>
          <w:ilvl w:val="0"/>
          <w:numId w:val="7"/>
        </w:numPr>
        <w:ind w:right="4"/>
        <w:rPr>
          <w:lang w:val="sr-Cyrl-CS"/>
        </w:rPr>
      </w:pPr>
      <w:r>
        <w:rPr>
          <w:lang w:val="sr-Cyrl-CS"/>
        </w:rPr>
        <w:t>Аналитички метод</w:t>
      </w:r>
    </w:p>
    <w:p w:rsidR="00553989" w:rsidRDefault="00553989" w:rsidP="00553989">
      <w:pPr>
        <w:pStyle w:val="ListParagraph"/>
        <w:numPr>
          <w:ilvl w:val="0"/>
          <w:numId w:val="7"/>
        </w:numPr>
        <w:ind w:right="4"/>
        <w:rPr>
          <w:lang w:val="sr-Cyrl-CS"/>
        </w:rPr>
      </w:pPr>
      <w:r>
        <w:rPr>
          <w:lang w:val="sr-Cyrl-CS"/>
        </w:rPr>
        <w:t>Историјска симулација</w:t>
      </w:r>
    </w:p>
    <w:p w:rsidR="00553989" w:rsidRPr="00553989" w:rsidRDefault="00553989" w:rsidP="00553989">
      <w:pPr>
        <w:pStyle w:val="ListParagraph"/>
        <w:numPr>
          <w:ilvl w:val="0"/>
          <w:numId w:val="7"/>
        </w:numPr>
        <w:ind w:right="4"/>
        <w:rPr>
          <w:lang w:val="sr-Cyrl-CS"/>
        </w:rPr>
      </w:pPr>
      <w:r>
        <w:rPr>
          <w:lang w:val="sr-Cyrl-CS"/>
        </w:rPr>
        <w:t>Монте Карло симулација</w:t>
      </w:r>
    </w:p>
    <w:p w:rsidR="001D6DDD" w:rsidRDefault="001D6DDD" w:rsidP="002B332E">
      <w:pPr>
        <w:ind w:left="0" w:right="4" w:firstLine="0"/>
        <w:rPr>
          <w:lang w:val="sr-Cyrl-CS"/>
        </w:rPr>
      </w:pPr>
    </w:p>
    <w:p w:rsidR="004E766E" w:rsidRPr="007833F9" w:rsidRDefault="004E766E" w:rsidP="004E766E">
      <w:pPr>
        <w:ind w:left="0" w:right="4" w:hanging="5"/>
        <w:jc w:val="center"/>
        <w:rPr>
          <w:b/>
          <w:i/>
          <w:lang w:val="sr-Cyrl-CS"/>
        </w:rPr>
      </w:pPr>
      <w:r w:rsidRPr="007833F9">
        <w:rPr>
          <w:b/>
          <w:i/>
          <w:lang w:val="sr-Cyrl-CS"/>
        </w:rPr>
        <w:t>АНАЛИТИЧКИ МЕТОД</w:t>
      </w:r>
      <w:r w:rsidR="007833F9" w:rsidRPr="007833F9">
        <w:rPr>
          <w:b/>
          <w:i/>
          <w:lang w:val="sr-Cyrl-CS"/>
        </w:rPr>
        <w:t xml:space="preserve"> РАЧУНАЊА ВАР</w:t>
      </w:r>
    </w:p>
    <w:p w:rsidR="004E766E" w:rsidRDefault="004E766E" w:rsidP="004E766E">
      <w:pPr>
        <w:ind w:left="0" w:firstLine="0"/>
        <w:rPr>
          <w:lang w:val="sr-Cyrl-CS"/>
        </w:rPr>
      </w:pPr>
    </w:p>
    <w:p w:rsidR="004E766E" w:rsidRPr="0056167B" w:rsidRDefault="004E766E" w:rsidP="004E766E">
      <w:pPr>
        <w:ind w:left="0" w:firstLine="0"/>
        <w:rPr>
          <w:lang w:val="sr-Cyrl-CS"/>
        </w:rPr>
      </w:pPr>
      <w:r>
        <w:rPr>
          <w:lang w:val="sr-Cyrl-CS"/>
        </w:rPr>
        <w:t>Аналитички метод се у литератури може наћи под различитим називима, као што су параметарски, линеарни, корелациони и други.</w:t>
      </w:r>
      <w:r w:rsidR="005068F2">
        <w:rPr>
          <w:lang w:val="sr-Cyrl-CS"/>
        </w:rPr>
        <w:t xml:space="preserve"> </w:t>
      </w:r>
      <w:r>
        <w:rPr>
          <w:lang w:val="sr-Cyrl-CS"/>
        </w:rPr>
        <w:t>Овај метод полази од предпоставке да расподела приноса одговара нормалној расподели (или некој другој теоријској расподели). У оквиру овог метода волатилност се описује стандардном девијацијом (δ). На основу правила 3δ</w:t>
      </w:r>
      <w:r w:rsidR="00553989">
        <w:rPr>
          <w:lang w:val="sr-Cyrl-CS"/>
        </w:rPr>
        <w:t xml:space="preserve"> следи да позитивне или нег</w:t>
      </w:r>
      <w:r>
        <w:rPr>
          <w:lang w:val="sr-Cyrl-CS"/>
        </w:rPr>
        <w:t>ативне промене цена</w:t>
      </w:r>
      <w:r w:rsidR="00553989">
        <w:rPr>
          <w:lang w:val="sr-Cyrl-CS"/>
        </w:rPr>
        <w:t xml:space="preserve"> инструмената портфолиа</w:t>
      </w:r>
      <w:r>
        <w:rPr>
          <w:lang w:val="sr-Cyrl-CS"/>
        </w:rPr>
        <w:t xml:space="preserve"> неће премашити волатилност за </w:t>
      </w:r>
      <w:r w:rsidR="005068F2">
        <w:rPr>
          <w:lang w:val="sr-Cyrl-CS"/>
        </w:rPr>
        <w:t>изабрани</w:t>
      </w:r>
      <w:r>
        <w:rPr>
          <w:lang w:val="sr-Cyrl-CS"/>
        </w:rPr>
        <w:t xml:space="preserve"> ниво поверења.</w:t>
      </w:r>
    </w:p>
    <w:p w:rsidR="004E766E" w:rsidRDefault="004E766E" w:rsidP="002B332E">
      <w:pPr>
        <w:ind w:left="0" w:right="4" w:firstLine="0"/>
        <w:rPr>
          <w:lang w:val="sr-Cyrl-CS"/>
        </w:rPr>
      </w:pPr>
    </w:p>
    <w:p w:rsidR="001D6DDD" w:rsidRDefault="002831F5" w:rsidP="002B332E">
      <w:pPr>
        <w:ind w:left="0" w:right="4" w:firstLine="0"/>
        <w:rPr>
          <w:lang w:val="sr-Cyrl-CS"/>
        </w:rPr>
      </w:pPr>
      <w:r>
        <w:rPr>
          <w:lang w:val="sr-Cyrl-CS"/>
        </w:rPr>
        <w:t>ВаР се рачуна у четири корака:</w:t>
      </w:r>
    </w:p>
    <w:p w:rsidR="007C6369" w:rsidRDefault="007C6369" w:rsidP="002B332E">
      <w:pPr>
        <w:ind w:left="0" w:right="4" w:firstLine="0"/>
        <w:rPr>
          <w:lang w:val="sr-Cyrl-CS"/>
        </w:rPr>
      </w:pPr>
    </w:p>
    <w:p w:rsidR="002831F5" w:rsidRDefault="002831F5" w:rsidP="002831F5">
      <w:pPr>
        <w:pStyle w:val="ListParagraph"/>
        <w:numPr>
          <w:ilvl w:val="0"/>
          <w:numId w:val="1"/>
        </w:numPr>
        <w:ind w:right="4"/>
        <w:rPr>
          <w:lang w:val="sr-Cyrl-CS"/>
        </w:rPr>
      </w:pPr>
      <w:r>
        <w:rPr>
          <w:lang w:val="sr-Cyrl-CS"/>
        </w:rPr>
        <w:t>Одређивање</w:t>
      </w:r>
      <w:r w:rsidR="00553989">
        <w:rPr>
          <w:lang w:val="sr-Cyrl-CS"/>
        </w:rPr>
        <w:t xml:space="preserve"> периода држања, то јест</w:t>
      </w:r>
      <w:r>
        <w:rPr>
          <w:lang w:val="sr-Cyrl-CS"/>
        </w:rPr>
        <w:t xml:space="preserve"> временског периода за који организација жели да процени могући губитак. То може да буде 1 дан (најчешће), </w:t>
      </w:r>
      <w:r w:rsidR="00553989">
        <w:rPr>
          <w:lang w:val="sr-Cyrl-CS"/>
        </w:rPr>
        <w:t>10 дана, месец дана и најдуже годину дана</w:t>
      </w:r>
      <w:r>
        <w:rPr>
          <w:lang w:val="sr-Cyrl-CS"/>
        </w:rPr>
        <w:t>.</w:t>
      </w:r>
    </w:p>
    <w:p w:rsidR="007E1608" w:rsidRDefault="007E1608" w:rsidP="007E1608">
      <w:pPr>
        <w:pStyle w:val="ListParagraph"/>
        <w:ind w:right="4" w:firstLine="0"/>
        <w:rPr>
          <w:lang w:val="sr-Cyrl-CS"/>
        </w:rPr>
      </w:pPr>
    </w:p>
    <w:p w:rsidR="007E1608" w:rsidRPr="007E1608" w:rsidRDefault="007E1608" w:rsidP="007E1608">
      <w:pPr>
        <w:pStyle w:val="ListParagraph"/>
        <w:pBdr>
          <w:top w:val="single" w:sz="4" w:space="1" w:color="auto"/>
          <w:left w:val="single" w:sz="4" w:space="4" w:color="auto"/>
          <w:bottom w:val="single" w:sz="4" w:space="0" w:color="auto"/>
          <w:right w:val="single" w:sz="4" w:space="4" w:color="auto"/>
        </w:pBdr>
        <w:ind w:right="4" w:firstLine="0"/>
        <w:rPr>
          <w:lang w:val="sr-Cyrl-CS"/>
        </w:rPr>
      </w:pPr>
      <w:r w:rsidRPr="007E1608">
        <w:rPr>
          <w:lang w:val="sr-Cyrl-CS"/>
        </w:rPr>
        <w:t xml:space="preserve">ВаР се повећава са повећањем периода држања обзиром да </w:t>
      </w:r>
      <w:r w:rsidRPr="00287DBE">
        <w:rPr>
          <w:lang w:val="sr-Cyrl-CS"/>
        </w:rPr>
        <w:t>волатилност расте приближно пропорционално квадратном корену периода држања.</w:t>
      </w:r>
      <w:r w:rsidR="00F77B6C">
        <w:rPr>
          <w:b/>
          <w:lang w:val="sr-Cyrl-CS"/>
        </w:rPr>
        <w:t xml:space="preserve"> Н</w:t>
      </w:r>
      <w:r>
        <w:rPr>
          <w:b/>
          <w:lang w:val="sr-Cyrl-CS"/>
        </w:rPr>
        <w:t>ајчешће</w:t>
      </w:r>
      <w:r w:rsidR="00F77B6C">
        <w:rPr>
          <w:b/>
          <w:lang w:val="sr-Cyrl-CS"/>
        </w:rPr>
        <w:t xml:space="preserve"> се</w:t>
      </w:r>
      <w:r>
        <w:rPr>
          <w:b/>
          <w:lang w:val="sr-Cyrl-CS"/>
        </w:rPr>
        <w:t xml:space="preserve"> </w:t>
      </w:r>
      <w:r w:rsidR="00F77B6C">
        <w:rPr>
          <w:b/>
          <w:lang w:val="sr-Cyrl-CS"/>
        </w:rPr>
        <w:t>из</w:t>
      </w:r>
      <w:r>
        <w:rPr>
          <w:b/>
          <w:lang w:val="sr-Cyrl-CS"/>
        </w:rPr>
        <w:t>рачуна</w:t>
      </w:r>
      <w:r w:rsidR="00F77B6C">
        <w:rPr>
          <w:b/>
          <w:lang w:val="sr-Cyrl-CS"/>
        </w:rPr>
        <w:t>ва</w:t>
      </w:r>
      <w:r>
        <w:rPr>
          <w:b/>
          <w:lang w:val="sr-Cyrl-CS"/>
        </w:rPr>
        <w:t xml:space="preserve"> ВаР за једнодневни период, док </w:t>
      </w:r>
      <w:r w:rsidR="00F77B6C">
        <w:rPr>
          <w:b/>
          <w:lang w:val="sr-Cyrl-CS"/>
        </w:rPr>
        <w:t xml:space="preserve">се </w:t>
      </w:r>
      <w:r>
        <w:rPr>
          <w:b/>
          <w:lang w:val="sr-Cyrl-CS"/>
        </w:rPr>
        <w:t xml:space="preserve">ВаР за дуже периоде одређују његовим множењем са квадратним кореном од броја дана које </w:t>
      </w:r>
      <w:r w:rsidR="00504C1C">
        <w:rPr>
          <w:b/>
          <w:lang w:val="sr-Cyrl-CS"/>
        </w:rPr>
        <w:t>иза</w:t>
      </w:r>
      <w:r>
        <w:rPr>
          <w:b/>
          <w:lang w:val="sr-Cyrl-CS"/>
        </w:rPr>
        <w:t>брани период држања садржи.</w:t>
      </w:r>
    </w:p>
    <w:p w:rsidR="007E1608" w:rsidRPr="007E1608" w:rsidRDefault="007E1608" w:rsidP="007E1608">
      <w:pPr>
        <w:ind w:left="0" w:right="4" w:firstLine="0"/>
        <w:rPr>
          <w:lang w:val="sr-Cyrl-CS"/>
        </w:rPr>
      </w:pPr>
    </w:p>
    <w:p w:rsidR="002831F5" w:rsidRDefault="002831F5" w:rsidP="002831F5">
      <w:pPr>
        <w:pStyle w:val="ListParagraph"/>
        <w:numPr>
          <w:ilvl w:val="0"/>
          <w:numId w:val="1"/>
        </w:numPr>
        <w:ind w:right="4"/>
        <w:rPr>
          <w:lang w:val="sr-Cyrl-CS"/>
        </w:rPr>
      </w:pPr>
      <w:r>
        <w:rPr>
          <w:lang w:val="sr-Cyrl-CS"/>
        </w:rPr>
        <w:t>Бира се ниво поверења који се примењује у процени ВаР-а. Углавном се ради о нивоу поверења 95% или 99%. Регулатори претежно траже износ ВаР за ниво поверења 99% јер и</w:t>
      </w:r>
      <w:r w:rsidR="000173E0">
        <w:rPr>
          <w:lang w:val="sr-Cyrl-CS"/>
        </w:rPr>
        <w:t>х</w:t>
      </w:r>
      <w:r>
        <w:rPr>
          <w:lang w:val="sr-Cyrl-CS"/>
        </w:rPr>
        <w:t xml:space="preserve"> занима износ потенцијалног губитка у случају катастрофалног догађаја.</w:t>
      </w:r>
    </w:p>
    <w:p w:rsidR="002831F5" w:rsidRDefault="002831F5" w:rsidP="002831F5">
      <w:pPr>
        <w:pStyle w:val="ListParagraph"/>
        <w:numPr>
          <w:ilvl w:val="0"/>
          <w:numId w:val="1"/>
        </w:numPr>
        <w:ind w:right="4"/>
        <w:rPr>
          <w:lang w:val="sr-Cyrl-CS"/>
        </w:rPr>
      </w:pPr>
      <w:r>
        <w:rPr>
          <w:lang w:val="sr-Cyrl-CS"/>
        </w:rPr>
        <w:t xml:space="preserve">Одређивање расподеле вероватноће исхода које </w:t>
      </w:r>
      <w:r w:rsidR="005068F2">
        <w:rPr>
          <w:lang w:val="sr-Cyrl-CS"/>
        </w:rPr>
        <w:t>пос</w:t>
      </w:r>
      <w:r>
        <w:rPr>
          <w:lang w:val="sr-Cyrl-CS"/>
        </w:rPr>
        <w:t xml:space="preserve">матрамо. </w:t>
      </w:r>
      <w:r w:rsidR="005068F2">
        <w:rPr>
          <w:lang w:val="sr-Cyrl-CS"/>
        </w:rPr>
        <w:t xml:space="preserve">У случају нормалне расподеле, примењује се аналитички метод, док се у супротном </w:t>
      </w:r>
      <w:r w:rsidR="00AA74A2">
        <w:rPr>
          <w:lang w:val="sr-Cyrl-CS"/>
        </w:rPr>
        <w:t>ВаР</w:t>
      </w:r>
      <w:r w:rsidR="005068F2">
        <w:rPr>
          <w:lang w:val="sr-Cyrl-CS"/>
        </w:rPr>
        <w:t xml:space="preserve"> </w:t>
      </w:r>
      <w:r w:rsidR="00AA74A2">
        <w:rPr>
          <w:lang w:val="sr-Cyrl-CS"/>
        </w:rPr>
        <w:t xml:space="preserve">израчунава </w:t>
      </w:r>
      <w:r w:rsidR="00AA74A2">
        <w:rPr>
          <w:lang w:val="sr-Cyrl-CS"/>
        </w:rPr>
        <w:lastRenderedPageBreak/>
        <w:t>применом непараметарск</w:t>
      </w:r>
      <w:r w:rsidR="00F77B6C">
        <w:rPr>
          <w:lang w:val="sr-Cyrl-CS"/>
        </w:rPr>
        <w:t>их мет</w:t>
      </w:r>
      <w:r w:rsidR="000A55DE">
        <w:rPr>
          <w:lang w:val="sr-Cyrl-CS"/>
        </w:rPr>
        <w:t>ода, као што је метод историјске</w:t>
      </w:r>
      <w:r w:rsidR="00F77B6C">
        <w:rPr>
          <w:lang w:val="sr-Cyrl-CS"/>
        </w:rPr>
        <w:t xml:space="preserve"> симулације</w:t>
      </w:r>
      <w:r w:rsidR="00034AD9">
        <w:rPr>
          <w:lang w:val="sr-Cyrl-CS"/>
        </w:rPr>
        <w:t xml:space="preserve"> (или Монте Карко симулација)</w:t>
      </w:r>
      <w:r w:rsidR="00AA74A2">
        <w:rPr>
          <w:lang w:val="sr-Cyrl-CS"/>
        </w:rPr>
        <w:t>.</w:t>
      </w:r>
    </w:p>
    <w:p w:rsidR="002831F5" w:rsidRDefault="002831F5" w:rsidP="002831F5">
      <w:pPr>
        <w:pStyle w:val="ListParagraph"/>
        <w:numPr>
          <w:ilvl w:val="0"/>
          <w:numId w:val="1"/>
        </w:numPr>
        <w:ind w:right="4"/>
        <w:rPr>
          <w:lang w:val="sr-Cyrl-CS"/>
        </w:rPr>
      </w:pPr>
      <w:r>
        <w:rPr>
          <w:lang w:val="sr-Cyrl-CS"/>
        </w:rPr>
        <w:t>Рачунање процене ВаР-а.</w:t>
      </w:r>
    </w:p>
    <w:p w:rsidR="00354C51" w:rsidRDefault="00354C51" w:rsidP="00354C51">
      <w:pPr>
        <w:ind w:right="4"/>
        <w:rPr>
          <w:lang w:val="sr-Cyrl-CS"/>
        </w:rPr>
      </w:pPr>
    </w:p>
    <w:p w:rsidR="00354C51" w:rsidRDefault="00354C51" w:rsidP="00354C51">
      <w:pPr>
        <w:ind w:left="0" w:right="4" w:hanging="5"/>
        <w:rPr>
          <w:lang w:val="sr-Cyrl-CS"/>
        </w:rPr>
      </w:pPr>
      <w:r>
        <w:rPr>
          <w:lang w:val="sr-Cyrl-CS"/>
        </w:rPr>
        <w:t>Вредност под ризиком, односно потенцијални губитак (ВаР) на одређено</w:t>
      </w:r>
      <w:r w:rsidR="00C51F7E">
        <w:rPr>
          <w:lang w:val="sr-Cyrl-CS"/>
        </w:rPr>
        <w:t>ј</w:t>
      </w:r>
      <w:r>
        <w:rPr>
          <w:lang w:val="sr-Cyrl-CS"/>
        </w:rPr>
        <w:t xml:space="preserve"> позицији израчунава се на следећи начин:</w:t>
      </w:r>
    </w:p>
    <w:p w:rsidR="00B357AC" w:rsidRDefault="00B357AC" w:rsidP="00354C51">
      <w:pPr>
        <w:ind w:left="0" w:right="4" w:hanging="5"/>
        <w:rPr>
          <w:lang w:val="sr-Cyrl-CS"/>
        </w:rPr>
      </w:pPr>
    </w:p>
    <w:p w:rsidR="002831F5" w:rsidRPr="00B357AC" w:rsidRDefault="00F92F33" w:rsidP="002831F5">
      <w:pPr>
        <w:ind w:right="4"/>
        <w:rPr>
          <w:rFonts w:eastAsiaTheme="minorEastAsia"/>
          <w:b/>
          <w:sz w:val="20"/>
          <w:szCs w:val="20"/>
          <w:bdr w:val="single" w:sz="4" w:space="0" w:color="auto"/>
          <w:lang w:val="sr-Cyrl-CS"/>
        </w:rPr>
      </w:pPr>
      <w:r>
        <w:rPr>
          <w:rFonts w:eastAsiaTheme="minorEastAsia"/>
          <w:sz w:val="20"/>
          <w:szCs w:val="20"/>
          <w:bdr w:val="single" w:sz="4" w:space="0" w:color="auto"/>
          <w:lang w:val="sr-Cyrl-CS"/>
        </w:rPr>
        <w:t xml:space="preserve">      </w:t>
      </w:r>
      <m:oMath>
        <m:r>
          <w:rPr>
            <w:rFonts w:ascii="Cambria Math" w:hAnsi="Cambria Math"/>
            <w:sz w:val="20"/>
            <w:szCs w:val="20"/>
            <w:bdr w:val="single" w:sz="4" w:space="0" w:color="auto"/>
            <w:lang w:val="sr-Cyrl-CS"/>
          </w:rPr>
          <m:t>ВаР=</m:t>
        </m:r>
        <m:rad>
          <m:radPr>
            <m:degHide m:val="on"/>
            <m:ctrlPr>
              <w:rPr>
                <w:rFonts w:ascii="Cambria Math" w:hAnsi="Cambria Math"/>
                <w:i/>
                <w:sz w:val="20"/>
                <w:szCs w:val="20"/>
                <w:bdr w:val="single" w:sz="4" w:space="0" w:color="auto"/>
                <w:lang w:val="sr-Cyrl-CS"/>
              </w:rPr>
            </m:ctrlPr>
          </m:radPr>
          <m:deg/>
          <m:e>
            <m:r>
              <w:rPr>
                <w:rFonts w:ascii="Cambria Math" w:hAnsi="Cambria Math"/>
                <w:sz w:val="20"/>
                <w:szCs w:val="20"/>
                <w:bdr w:val="single" w:sz="4" w:space="0" w:color="auto"/>
                <w:lang w:val="sr-Cyrl-CS"/>
              </w:rPr>
              <m:t>ПЕРИОД ДРЖАЊА</m:t>
            </m:r>
          </m:e>
        </m:rad>
      </m:oMath>
      <w:r w:rsidRPr="00F92F33">
        <w:rPr>
          <w:rFonts w:eastAsiaTheme="minorEastAsia"/>
          <w:sz w:val="20"/>
          <w:szCs w:val="20"/>
          <w:bdr w:val="single" w:sz="4" w:space="0" w:color="auto"/>
          <w:lang w:val="sr-Cyrl-CS"/>
        </w:rPr>
        <w:t>*ВРЕДНОСТ ПОЗИЦИЈЕ*(ВОЛАТИЛНОСТ*НИВО ПОВЕРЕЊА)</w:t>
      </w:r>
      <w:r>
        <w:rPr>
          <w:rFonts w:eastAsiaTheme="minorEastAsia"/>
          <w:b/>
          <w:sz w:val="20"/>
          <w:szCs w:val="20"/>
          <w:bdr w:val="single" w:sz="4" w:space="0" w:color="auto"/>
          <w:lang w:val="sr-Cyrl-CS"/>
        </w:rPr>
        <w:t xml:space="preserve"> </w:t>
      </w:r>
    </w:p>
    <w:p w:rsidR="00B357AC" w:rsidRDefault="00B357AC" w:rsidP="002831F5">
      <w:pPr>
        <w:ind w:right="4"/>
        <w:rPr>
          <w:lang w:val="sr-Cyrl-CS"/>
        </w:rPr>
      </w:pPr>
    </w:p>
    <w:p w:rsidR="00D105CD" w:rsidRPr="006E7D00" w:rsidRDefault="006E7D00" w:rsidP="006E7D00">
      <w:pPr>
        <w:ind w:left="0" w:right="4" w:hanging="5"/>
        <w:jc w:val="center"/>
        <w:rPr>
          <w:b/>
          <w:i/>
          <w:lang w:val="sr-Cyrl-CS"/>
        </w:rPr>
      </w:pPr>
      <w:r w:rsidRPr="006E7D00">
        <w:rPr>
          <w:b/>
          <w:i/>
          <w:lang w:val="sr-Cyrl-CS"/>
        </w:rPr>
        <w:t>ВОЛАТИЛНОСТ</w:t>
      </w:r>
    </w:p>
    <w:p w:rsidR="00D105CD" w:rsidRPr="00D105CD" w:rsidRDefault="00D105CD" w:rsidP="000465DB">
      <w:pPr>
        <w:ind w:left="0" w:right="4" w:hanging="5"/>
        <w:rPr>
          <w:lang w:val="sr-Cyrl-CS"/>
        </w:rPr>
      </w:pPr>
    </w:p>
    <w:p w:rsidR="009D6ADC" w:rsidRDefault="003A17EB" w:rsidP="000465DB">
      <w:pPr>
        <w:ind w:left="0" w:right="4" w:hanging="5"/>
        <w:rPr>
          <w:lang w:val="sr-Cyrl-CS"/>
        </w:rPr>
      </w:pPr>
      <w:r w:rsidRPr="00D105CD">
        <w:rPr>
          <w:lang w:val="sr-Cyrl-CS"/>
        </w:rPr>
        <w:t>Волатилност</w:t>
      </w:r>
      <w:r>
        <w:rPr>
          <w:lang w:val="sr-Cyrl-CS"/>
        </w:rPr>
        <w:t xml:space="preserve"> се дефинише као флуктуација основних цена</w:t>
      </w:r>
      <w:r w:rsidR="006E7D00">
        <w:rPr>
          <w:lang w:val="sr-Cyrl-CS"/>
        </w:rPr>
        <w:t xml:space="preserve"> средстава</w:t>
      </w:r>
      <w:r>
        <w:rPr>
          <w:lang w:val="sr-Cyrl-CS"/>
        </w:rPr>
        <w:t xml:space="preserve"> </w:t>
      </w:r>
      <w:r w:rsidR="006E7D00">
        <w:rPr>
          <w:lang w:val="sr-Cyrl-CS"/>
        </w:rPr>
        <w:t>(</w:t>
      </w:r>
      <w:r>
        <w:rPr>
          <w:lang w:val="sr-Cyrl-CS"/>
        </w:rPr>
        <w:t>ХоВ, роба или тржишта</w:t>
      </w:r>
      <w:r w:rsidR="006E7D00">
        <w:rPr>
          <w:lang w:val="sr-Cyrl-CS"/>
        </w:rPr>
        <w:t>)</w:t>
      </w:r>
      <w:r w:rsidR="00F77B6C">
        <w:rPr>
          <w:lang w:val="sr-Cyrl-CS"/>
        </w:rPr>
        <w:t>,</w:t>
      </w:r>
      <w:r>
        <w:rPr>
          <w:lang w:val="sr-Cyrl-CS"/>
        </w:rPr>
        <w:t xml:space="preserve"> током одређеног временског периода. </w:t>
      </w:r>
      <w:r w:rsidR="00D105CD">
        <w:rPr>
          <w:lang w:val="sr-Cyrl-CS"/>
        </w:rPr>
        <w:t xml:space="preserve">Обично се описује </w:t>
      </w:r>
      <w:r w:rsidR="00354C51">
        <w:rPr>
          <w:lang w:val="sr-Cyrl-CS"/>
        </w:rPr>
        <w:t>процентуални</w:t>
      </w:r>
      <w:r>
        <w:rPr>
          <w:lang w:val="sr-Cyrl-CS"/>
        </w:rPr>
        <w:t>м</w:t>
      </w:r>
      <w:r w:rsidR="00354C51">
        <w:rPr>
          <w:lang w:val="sr-Cyrl-CS"/>
        </w:rPr>
        <w:t xml:space="preserve"> промена</w:t>
      </w:r>
      <w:r>
        <w:rPr>
          <w:lang w:val="sr-Cyrl-CS"/>
        </w:rPr>
        <w:t>ма</w:t>
      </w:r>
      <w:r w:rsidR="00D105CD">
        <w:rPr>
          <w:lang w:val="sr-Cyrl-CS"/>
        </w:rPr>
        <w:t xml:space="preserve"> приноса</w:t>
      </w:r>
      <w:r w:rsidR="00D105CD">
        <w:rPr>
          <w:rStyle w:val="FootnoteReference"/>
          <w:lang w:val="sr-Cyrl-CS"/>
        </w:rPr>
        <w:footnoteReference w:id="2"/>
      </w:r>
      <w:r>
        <w:rPr>
          <w:lang w:val="sr-Cyrl-CS"/>
        </w:rPr>
        <w:t>,</w:t>
      </w:r>
      <w:r w:rsidR="000A5E9D">
        <w:rPr>
          <w:lang w:val="sr-Cyrl-CS"/>
        </w:rPr>
        <w:t xml:space="preserve"> при чему </w:t>
      </w:r>
      <w:r>
        <w:rPr>
          <w:lang w:val="sr-Cyrl-CS"/>
        </w:rPr>
        <w:t>се</w:t>
      </w:r>
      <w:r w:rsidR="000A5E9D">
        <w:rPr>
          <w:lang w:val="sr-Cyrl-CS"/>
        </w:rPr>
        <w:t xml:space="preserve"> стандардн</w:t>
      </w:r>
      <w:r>
        <w:rPr>
          <w:lang w:val="sr-Cyrl-CS"/>
        </w:rPr>
        <w:t>им</w:t>
      </w:r>
      <w:r w:rsidR="000A5E9D">
        <w:rPr>
          <w:lang w:val="sr-Cyrl-CS"/>
        </w:rPr>
        <w:t xml:space="preserve"> мерило</w:t>
      </w:r>
      <w:r>
        <w:rPr>
          <w:lang w:val="sr-Cyrl-CS"/>
        </w:rPr>
        <w:t>м</w:t>
      </w:r>
      <w:r w:rsidR="00C51F7E">
        <w:rPr>
          <w:lang w:val="sr-Cyrl-CS"/>
        </w:rPr>
        <w:t xml:space="preserve"> претежно</w:t>
      </w:r>
      <w:r w:rsidR="000A5E9D">
        <w:rPr>
          <w:lang w:val="sr-Cyrl-CS"/>
        </w:rPr>
        <w:t xml:space="preserve"> </w:t>
      </w:r>
      <w:r>
        <w:rPr>
          <w:lang w:val="sr-Cyrl-CS"/>
        </w:rPr>
        <w:t>сматра</w:t>
      </w:r>
      <w:r w:rsidR="006E7D00">
        <w:rPr>
          <w:lang w:val="sr-Cyrl-CS"/>
        </w:rPr>
        <w:t xml:space="preserve"> њихова стандардна</w:t>
      </w:r>
      <w:r w:rsidR="000A5E9D">
        <w:rPr>
          <w:lang w:val="sr-Cyrl-CS"/>
        </w:rPr>
        <w:t xml:space="preserve"> девијациј</w:t>
      </w:r>
      <w:r w:rsidR="006E7D00">
        <w:rPr>
          <w:lang w:val="sr-Cyrl-CS"/>
        </w:rPr>
        <w:t>а</w:t>
      </w:r>
      <w:r w:rsidR="000A5E9D">
        <w:rPr>
          <w:lang w:val="sr-Cyrl-CS"/>
        </w:rPr>
        <w:t>.</w:t>
      </w:r>
      <w:r w:rsidR="000A5E9D">
        <w:rPr>
          <w:rStyle w:val="FootnoteReference"/>
          <w:lang w:val="sr-Cyrl-CS"/>
        </w:rPr>
        <w:footnoteReference w:id="3"/>
      </w:r>
      <w:r>
        <w:rPr>
          <w:lang w:val="sr-Cyrl-CS"/>
        </w:rPr>
        <w:t xml:space="preserve"> Када су цене средства стабилне, волатилност је мала, </w:t>
      </w:r>
      <w:r w:rsidR="006E7D00">
        <w:rPr>
          <w:lang w:val="sr-Cyrl-CS"/>
        </w:rPr>
        <w:t>што значи да је</w:t>
      </w:r>
      <w:r>
        <w:rPr>
          <w:lang w:val="sr-Cyrl-CS"/>
        </w:rPr>
        <w:t xml:space="preserve"> и шанса за остваривање добитка/губитка</w:t>
      </w:r>
      <w:r w:rsidR="006E7D00">
        <w:rPr>
          <w:lang w:val="sr-Cyrl-CS"/>
        </w:rPr>
        <w:t xml:space="preserve"> такође мала</w:t>
      </w:r>
      <w:r>
        <w:rPr>
          <w:lang w:val="sr-Cyrl-CS"/>
        </w:rPr>
        <w:t>. Важи и обрнуто. Уобичајна</w:t>
      </w:r>
      <w:r w:rsidR="006E7D00">
        <w:rPr>
          <w:lang w:val="sr-Cyrl-CS"/>
        </w:rPr>
        <w:t xml:space="preserve"> је</w:t>
      </w:r>
      <w:r>
        <w:rPr>
          <w:lang w:val="sr-Cyrl-CS"/>
        </w:rPr>
        <w:t xml:space="preserve"> претпоставка да приноси</w:t>
      </w:r>
      <w:r w:rsidR="00F9666F">
        <w:rPr>
          <w:lang w:val="sr-Cyrl-CS"/>
        </w:rPr>
        <w:t xml:space="preserve"> по основу држања средстава имају нормалну расп</w:t>
      </w:r>
      <w:r w:rsidR="00AC5DAC">
        <w:rPr>
          <w:lang w:val="sr-Cyrl-CS"/>
        </w:rPr>
        <w:t>оделу. У циљу свођења на нормалну дистрибуцију приноси</w:t>
      </w:r>
      <w:r w:rsidR="00F9666F">
        <w:rPr>
          <w:lang w:val="sr-Cyrl-CS"/>
        </w:rPr>
        <w:t xml:space="preserve"> се често </w:t>
      </w:r>
      <w:r w:rsidR="00AC5DAC">
        <w:rPr>
          <w:lang w:val="sr-Cyrl-CS"/>
        </w:rPr>
        <w:t>представљају</w:t>
      </w:r>
      <w:r w:rsidR="00C24470">
        <w:rPr>
          <w:lang w:val="sr-Cyrl-CS"/>
        </w:rPr>
        <w:t xml:space="preserve"> у логаритамској форми </w:t>
      </w:r>
      <w:r w:rsidR="00F9666F">
        <w:rPr>
          <w:lang w:val="sr-Latn-CS"/>
        </w:rPr>
        <w:t>ln (P</w:t>
      </w:r>
      <w:r w:rsidR="00F9666F">
        <w:rPr>
          <w:vertAlign w:val="subscript"/>
          <w:lang w:val="sr-Latn-CS"/>
        </w:rPr>
        <w:t>t</w:t>
      </w:r>
      <w:r w:rsidR="00F9666F">
        <w:rPr>
          <w:lang w:val="sr-Latn-CS"/>
        </w:rPr>
        <w:t>/P</w:t>
      </w:r>
      <w:r w:rsidR="00F9666F">
        <w:rPr>
          <w:vertAlign w:val="subscript"/>
          <w:lang w:val="sr-Latn-CS"/>
        </w:rPr>
        <w:t>t-1</w:t>
      </w:r>
      <w:r w:rsidR="00F9666F">
        <w:rPr>
          <w:lang w:val="sr-Latn-CS"/>
        </w:rPr>
        <w:t xml:space="preserve">), </w:t>
      </w:r>
      <w:r w:rsidR="00F9666F">
        <w:rPr>
          <w:lang w:val="sr-Cyrl-CS"/>
        </w:rPr>
        <w:t xml:space="preserve">где је </w:t>
      </w:r>
      <w:r w:rsidR="00F9666F">
        <w:rPr>
          <w:lang w:val="sr-Latn-CS"/>
        </w:rPr>
        <w:t>P</w:t>
      </w:r>
      <w:r w:rsidR="00F9666F">
        <w:rPr>
          <w:vertAlign w:val="subscript"/>
          <w:lang w:val="sr-Latn-CS"/>
        </w:rPr>
        <w:t>t</w:t>
      </w:r>
      <w:r w:rsidR="00F9666F">
        <w:rPr>
          <w:lang w:val="sr-Latn-CS"/>
        </w:rPr>
        <w:t xml:space="preserve"> </w:t>
      </w:r>
      <w:r w:rsidR="00F9666F">
        <w:rPr>
          <w:lang w:val="sr-Cyrl-CS"/>
        </w:rPr>
        <w:t>садашња цена, док је</w:t>
      </w:r>
      <w:r w:rsidR="00F9666F">
        <w:rPr>
          <w:lang w:val="sr-Latn-CS"/>
        </w:rPr>
        <w:t xml:space="preserve"> P</w:t>
      </w:r>
      <w:r w:rsidR="00F9666F">
        <w:rPr>
          <w:vertAlign w:val="subscript"/>
          <w:lang w:val="sr-Latn-CS"/>
        </w:rPr>
        <w:t>t-1</w:t>
      </w:r>
      <w:r w:rsidR="00F9666F">
        <w:rPr>
          <w:vertAlign w:val="subscript"/>
          <w:lang w:val="sr-Cyrl-CS"/>
        </w:rPr>
        <w:t xml:space="preserve"> </w:t>
      </w:r>
      <w:r w:rsidR="00F9666F">
        <w:rPr>
          <w:lang w:val="sr-Cyrl-CS"/>
        </w:rPr>
        <w:t>предходна цена.</w:t>
      </w:r>
      <w:r w:rsidR="00B13134">
        <w:rPr>
          <w:rStyle w:val="FootnoteReference"/>
          <w:lang w:val="sr-Cyrl-CS"/>
        </w:rPr>
        <w:footnoteReference w:id="4"/>
      </w:r>
      <w:r w:rsidR="00B13134">
        <w:rPr>
          <w:lang w:val="sr-Cyrl-CS"/>
        </w:rPr>
        <w:t xml:space="preserve"> </w:t>
      </w:r>
      <w:r w:rsidR="00F9666F">
        <w:rPr>
          <w:lang w:val="sr-Cyrl-CS"/>
        </w:rPr>
        <w:t xml:space="preserve">Такође, приноси се </w:t>
      </w:r>
      <w:r w:rsidR="00521C9D">
        <w:rPr>
          <w:lang w:val="sr-Cyrl-CS"/>
        </w:rPr>
        <w:t>могу</w:t>
      </w:r>
      <w:r w:rsidR="00F9666F">
        <w:rPr>
          <w:lang w:val="sr-Cyrl-CS"/>
        </w:rPr>
        <w:t xml:space="preserve"> </w:t>
      </w:r>
      <w:r w:rsidR="00521C9D">
        <w:rPr>
          <w:lang w:val="sr-Cyrl-CS"/>
        </w:rPr>
        <w:t>исказати и изразом</w:t>
      </w:r>
      <w:r w:rsidR="000A55DE">
        <w:rPr>
          <w:lang w:val="sr-Cyrl-CS"/>
        </w:rPr>
        <w:t xml:space="preserve"> </w:t>
      </w:r>
      <w:r w:rsidR="000A55DE">
        <w:rPr>
          <w:lang w:val="sr-Latn-CS"/>
        </w:rPr>
        <w:t xml:space="preserve"> HPR (</w:t>
      </w:r>
      <w:r w:rsidR="000A55DE" w:rsidRPr="000A55DE">
        <w:rPr>
          <w:i/>
          <w:lang w:val="sr-Latn-CS"/>
        </w:rPr>
        <w:t>holding period return</w:t>
      </w:r>
      <w:r w:rsidR="000A55DE">
        <w:rPr>
          <w:lang w:val="sr-Latn-CS"/>
        </w:rPr>
        <w:t>) =</w:t>
      </w:r>
      <w:r w:rsidR="00521C9D">
        <w:rPr>
          <w:lang w:val="sr-Cyrl-CS"/>
        </w:rPr>
        <w:t xml:space="preserve"> </w:t>
      </w:r>
      <w:r w:rsidR="00F9666F">
        <w:rPr>
          <w:lang w:val="sr-Cyrl-CS"/>
        </w:rPr>
        <w:t>(</w:t>
      </w:r>
      <w:r w:rsidR="00F9666F">
        <w:rPr>
          <w:lang w:val="sr-Latn-CS"/>
        </w:rPr>
        <w:t>P</w:t>
      </w:r>
      <w:r w:rsidR="00F9666F">
        <w:rPr>
          <w:vertAlign w:val="subscript"/>
          <w:lang w:val="sr-Latn-CS"/>
        </w:rPr>
        <w:t>t</w:t>
      </w:r>
      <w:r w:rsidR="00F9666F">
        <w:rPr>
          <w:lang w:val="sr-Cyrl-CS"/>
        </w:rPr>
        <w:t>-</w:t>
      </w:r>
      <w:r w:rsidR="00F9666F" w:rsidRPr="00F9666F">
        <w:rPr>
          <w:lang w:val="sr-Latn-CS"/>
        </w:rPr>
        <w:t xml:space="preserve"> </w:t>
      </w:r>
      <w:r w:rsidR="00F9666F">
        <w:rPr>
          <w:lang w:val="sr-Latn-CS"/>
        </w:rPr>
        <w:t>P</w:t>
      </w:r>
      <w:r w:rsidR="00F9666F">
        <w:rPr>
          <w:vertAlign w:val="subscript"/>
          <w:lang w:val="sr-Latn-CS"/>
        </w:rPr>
        <w:t>t-1</w:t>
      </w:r>
      <w:r w:rsidR="00F9666F">
        <w:rPr>
          <w:lang w:val="sr-Cyrl-CS"/>
        </w:rPr>
        <w:t>)</w:t>
      </w:r>
      <w:r w:rsidR="00F9666F">
        <w:rPr>
          <w:lang w:val="sr-Latn-CS"/>
        </w:rPr>
        <w:t>/P</w:t>
      </w:r>
      <w:r w:rsidR="00F9666F">
        <w:rPr>
          <w:vertAlign w:val="subscript"/>
          <w:lang w:val="sr-Latn-CS"/>
        </w:rPr>
        <w:t>t-1</w:t>
      </w:r>
      <w:r w:rsidR="00F9666F">
        <w:rPr>
          <w:lang w:val="sr-Cyrl-CS"/>
        </w:rPr>
        <w:t>.</w:t>
      </w:r>
    </w:p>
    <w:p w:rsidR="00C24470" w:rsidRDefault="00C24470" w:rsidP="000465DB">
      <w:pPr>
        <w:ind w:left="0" w:right="4" w:hanging="5"/>
        <w:rPr>
          <w:lang w:val="sr-Cyrl-CS"/>
        </w:rPr>
      </w:pPr>
    </w:p>
    <w:p w:rsidR="00C24470" w:rsidRDefault="00C24470" w:rsidP="000465DB">
      <w:pPr>
        <w:ind w:left="0" w:right="4" w:hanging="5"/>
        <w:rPr>
          <w:lang w:val="sr-Cyrl-CS"/>
        </w:rPr>
      </w:pPr>
      <w:r>
        <w:rPr>
          <w:lang w:val="sr-Cyrl-CS"/>
        </w:rPr>
        <w:t>Када је реч о волатилности, разликујемо:</w:t>
      </w:r>
    </w:p>
    <w:p w:rsidR="009D6ADC" w:rsidRDefault="009D6ADC" w:rsidP="000465DB">
      <w:pPr>
        <w:ind w:left="0" w:right="4" w:hanging="5"/>
        <w:rPr>
          <w:lang w:val="sr-Cyrl-CS"/>
        </w:rPr>
      </w:pPr>
    </w:p>
    <w:p w:rsidR="009D6ADC" w:rsidRPr="009D6ADC" w:rsidRDefault="00B13134" w:rsidP="009D6ADC">
      <w:pPr>
        <w:pStyle w:val="ListParagraph"/>
        <w:numPr>
          <w:ilvl w:val="0"/>
          <w:numId w:val="6"/>
        </w:numPr>
        <w:ind w:right="4"/>
        <w:rPr>
          <w:lang w:val="sr-Cyrl-CS"/>
        </w:rPr>
      </w:pPr>
      <w:r w:rsidRPr="009D6ADC">
        <w:rPr>
          <w:lang w:val="sr-Cyrl-CS"/>
        </w:rPr>
        <w:t>историјску (статистичку) волатилност</w:t>
      </w:r>
      <w:r w:rsidR="009D6ADC">
        <w:rPr>
          <w:lang w:val="sr-Cyrl-CS"/>
        </w:rPr>
        <w:t>,</w:t>
      </w:r>
      <w:r w:rsidRPr="009D6ADC">
        <w:rPr>
          <w:lang w:val="sr-Cyrl-CS"/>
        </w:rPr>
        <w:t xml:space="preserve"> и </w:t>
      </w:r>
    </w:p>
    <w:p w:rsidR="009D6ADC" w:rsidRPr="009D6ADC" w:rsidRDefault="00B13134" w:rsidP="009D6ADC">
      <w:pPr>
        <w:pStyle w:val="ListParagraph"/>
        <w:numPr>
          <w:ilvl w:val="0"/>
          <w:numId w:val="6"/>
        </w:numPr>
        <w:ind w:right="4"/>
        <w:rPr>
          <w:lang w:val="sr-Cyrl-CS"/>
        </w:rPr>
      </w:pPr>
      <w:r w:rsidRPr="009D6ADC">
        <w:rPr>
          <w:lang w:val="sr-Cyrl-CS"/>
        </w:rPr>
        <w:t xml:space="preserve">примењену волатилност. </w:t>
      </w:r>
    </w:p>
    <w:p w:rsidR="009D6ADC" w:rsidRDefault="009D6ADC" w:rsidP="000465DB">
      <w:pPr>
        <w:ind w:left="0" w:right="4" w:hanging="5"/>
        <w:rPr>
          <w:lang w:val="sr-Cyrl-CS"/>
        </w:rPr>
      </w:pPr>
    </w:p>
    <w:p w:rsidR="007C6369" w:rsidRDefault="00B13134" w:rsidP="000465DB">
      <w:pPr>
        <w:ind w:left="0" w:right="4" w:hanging="5"/>
        <w:rPr>
          <w:lang w:val="sr-Cyrl-CS"/>
        </w:rPr>
      </w:pPr>
      <w:r>
        <w:rPr>
          <w:lang w:val="sr-Cyrl-CS"/>
        </w:rPr>
        <w:t xml:space="preserve">Историјска волатилност </w:t>
      </w:r>
      <w:r w:rsidR="00542C7E">
        <w:rPr>
          <w:lang w:val="sr-Cyrl-CS"/>
        </w:rPr>
        <w:t>представља</w:t>
      </w:r>
      <w:r>
        <w:rPr>
          <w:lang w:val="sr-Cyrl-CS"/>
        </w:rPr>
        <w:t xml:space="preserve"> флуктуациј</w:t>
      </w:r>
      <w:r w:rsidR="00542C7E">
        <w:rPr>
          <w:lang w:val="sr-Cyrl-CS"/>
        </w:rPr>
        <w:t>у</w:t>
      </w:r>
      <w:r>
        <w:rPr>
          <w:lang w:val="sr-Cyrl-CS"/>
        </w:rPr>
        <w:t xml:space="preserve"> стварних цена у одређеном прошлом временском периоду и на основу ње се може само претпоставити будуће</w:t>
      </w:r>
      <w:r w:rsidR="00662F58">
        <w:rPr>
          <w:lang w:val="sr-Cyrl-CS"/>
        </w:rPr>
        <w:t xml:space="preserve"> кретање цена. П</w:t>
      </w:r>
      <w:r>
        <w:rPr>
          <w:lang w:val="sr-Cyrl-CS"/>
        </w:rPr>
        <w:t xml:space="preserve">римењена волатилност </w:t>
      </w:r>
      <w:r w:rsidR="00C24470">
        <w:rPr>
          <w:lang w:val="sr-Cyrl-CS"/>
        </w:rPr>
        <w:t>даје</w:t>
      </w:r>
      <w:r>
        <w:rPr>
          <w:lang w:val="sr-Cyrl-CS"/>
        </w:rPr>
        <w:t xml:space="preserve"> проце</w:t>
      </w:r>
      <w:r w:rsidR="00C24470">
        <w:rPr>
          <w:lang w:val="sr-Cyrl-CS"/>
        </w:rPr>
        <w:t>ну</w:t>
      </w:r>
      <w:r>
        <w:rPr>
          <w:lang w:val="sr-Cyrl-CS"/>
        </w:rPr>
        <w:t xml:space="preserve"> волатилност</w:t>
      </w:r>
      <w:r w:rsidR="00C24470">
        <w:rPr>
          <w:lang w:val="sr-Cyrl-CS"/>
        </w:rPr>
        <w:t>и</w:t>
      </w:r>
      <w:r>
        <w:rPr>
          <w:lang w:val="sr-Cyrl-CS"/>
        </w:rPr>
        <w:t xml:space="preserve"> цен</w:t>
      </w:r>
      <w:r w:rsidR="00542C7E">
        <w:rPr>
          <w:lang w:val="sr-Cyrl-CS"/>
        </w:rPr>
        <w:t>а</w:t>
      </w:r>
      <w:r>
        <w:rPr>
          <w:lang w:val="sr-Cyrl-CS"/>
        </w:rPr>
        <w:t xml:space="preserve"> </w:t>
      </w:r>
      <w:r w:rsidR="00662F58">
        <w:rPr>
          <w:lang w:val="sr-Cyrl-CS"/>
        </w:rPr>
        <w:t>на основу</w:t>
      </w:r>
      <w:r>
        <w:rPr>
          <w:lang w:val="sr-Cyrl-CS"/>
        </w:rPr>
        <w:t xml:space="preserve"> анализ</w:t>
      </w:r>
      <w:r w:rsidR="00662F58">
        <w:rPr>
          <w:lang w:val="sr-Cyrl-CS"/>
        </w:rPr>
        <w:t>е</w:t>
      </w:r>
      <w:r>
        <w:rPr>
          <w:lang w:val="sr-Cyrl-CS"/>
        </w:rPr>
        <w:t xml:space="preserve"> релевантних фактора као што су на пример понуда и тражња</w:t>
      </w:r>
      <w:r w:rsidR="00EB056B">
        <w:rPr>
          <w:lang w:val="sr-Latn-CS"/>
        </w:rPr>
        <w:t xml:space="preserve">, </w:t>
      </w:r>
      <w:r w:rsidR="00EB056B">
        <w:rPr>
          <w:lang w:val="sr-Cyrl-CS"/>
        </w:rPr>
        <w:t xml:space="preserve">тржишна кретања </w:t>
      </w:r>
      <w:r w:rsidR="00662F58">
        <w:rPr>
          <w:lang w:val="sr-Cyrl-CS"/>
        </w:rPr>
        <w:t>и друго.</w:t>
      </w:r>
    </w:p>
    <w:p w:rsidR="00542C7E" w:rsidRDefault="00542C7E" w:rsidP="000465DB">
      <w:pPr>
        <w:ind w:left="0" w:right="4" w:hanging="5"/>
        <w:rPr>
          <w:lang w:val="sr-Cyrl-CS"/>
        </w:rPr>
      </w:pPr>
    </w:p>
    <w:p w:rsidR="00542C7E" w:rsidRDefault="00AC5DAC" w:rsidP="000465DB">
      <w:pPr>
        <w:ind w:left="0" w:right="4" w:hanging="5"/>
        <w:rPr>
          <w:lang w:val="sr-Cyrl-CS"/>
        </w:rPr>
      </w:pPr>
      <w:r>
        <w:rPr>
          <w:lang w:val="sr-Cyrl-CS"/>
        </w:rPr>
        <w:t>За мерење волатилности најчешће се користе следећи методи</w:t>
      </w:r>
      <w:r w:rsidR="00542C7E">
        <w:rPr>
          <w:lang w:val="sr-Cyrl-CS"/>
        </w:rPr>
        <w:t>:</w:t>
      </w:r>
    </w:p>
    <w:p w:rsidR="00542C7E" w:rsidRDefault="00542C7E" w:rsidP="000465DB">
      <w:pPr>
        <w:ind w:left="0" w:right="4" w:hanging="5"/>
        <w:rPr>
          <w:lang w:val="sr-Cyrl-CS"/>
        </w:rPr>
      </w:pPr>
    </w:p>
    <w:p w:rsidR="00542C7E" w:rsidRDefault="00AC5DAC" w:rsidP="00542C7E">
      <w:pPr>
        <w:pStyle w:val="ListParagraph"/>
        <w:numPr>
          <w:ilvl w:val="0"/>
          <w:numId w:val="4"/>
        </w:numPr>
        <w:ind w:right="4"/>
        <w:rPr>
          <w:lang w:val="sr-Cyrl-CS"/>
        </w:rPr>
      </w:pPr>
      <w:r w:rsidRPr="00DB0A71">
        <w:rPr>
          <w:b/>
          <w:lang w:val="sr-Cyrl-CS"/>
        </w:rPr>
        <w:t xml:space="preserve">Метод </w:t>
      </w:r>
      <w:r w:rsidR="00542C7E" w:rsidRPr="00DB0A71">
        <w:rPr>
          <w:b/>
          <w:lang w:val="sr-Cyrl-CS"/>
        </w:rPr>
        <w:t>стандардне девијације</w:t>
      </w:r>
      <w:r w:rsidR="00C757AC">
        <w:rPr>
          <w:lang w:val="sr-Cyrl-CS"/>
        </w:rPr>
        <w:t xml:space="preserve"> </w:t>
      </w:r>
      <w:r w:rsidR="00542C7E">
        <w:rPr>
          <w:lang w:val="sr-Cyrl-CS"/>
        </w:rPr>
        <w:t>- користи се при нормалној расподели приноса.</w:t>
      </w:r>
    </w:p>
    <w:p w:rsidR="00542C7E" w:rsidRPr="00DB0A71" w:rsidRDefault="00AC5DAC" w:rsidP="00542C7E">
      <w:pPr>
        <w:pStyle w:val="ListParagraph"/>
        <w:numPr>
          <w:ilvl w:val="0"/>
          <w:numId w:val="4"/>
        </w:numPr>
        <w:ind w:right="4"/>
        <w:rPr>
          <w:b/>
          <w:lang w:val="sr-Cyrl-CS"/>
        </w:rPr>
      </w:pPr>
      <w:r w:rsidRPr="00DB0A71">
        <w:rPr>
          <w:b/>
          <w:lang w:val="sr-Cyrl-CS"/>
        </w:rPr>
        <w:t>Метод</w:t>
      </w:r>
      <w:r w:rsidR="00542C7E" w:rsidRPr="00DB0A71">
        <w:rPr>
          <w:b/>
          <w:lang w:val="sr-Cyrl-CS"/>
        </w:rPr>
        <w:t xml:space="preserve"> покретног просека</w:t>
      </w:r>
      <w:r w:rsidR="00542C7E">
        <w:rPr>
          <w:lang w:val="sr-Cyrl-CS"/>
        </w:rPr>
        <w:t xml:space="preserve"> – идентич</w:t>
      </w:r>
      <w:r w:rsidR="00DB0A71">
        <w:rPr>
          <w:lang w:val="sr-Cyrl-CS"/>
        </w:rPr>
        <w:t>ан</w:t>
      </w:r>
      <w:r w:rsidR="00542C7E">
        <w:rPr>
          <w:lang w:val="sr-Cyrl-CS"/>
        </w:rPr>
        <w:t xml:space="preserve"> методу</w:t>
      </w:r>
      <w:r w:rsidR="0056795D">
        <w:rPr>
          <w:lang w:val="sr-Cyrl-CS"/>
        </w:rPr>
        <w:t xml:space="preserve"> стандардне девијације</w:t>
      </w:r>
      <w:r w:rsidR="00542C7E">
        <w:rPr>
          <w:lang w:val="sr-Cyrl-CS"/>
        </w:rPr>
        <w:t xml:space="preserve"> с тим да се средњом вредношчу низа сматра 0.</w:t>
      </w:r>
    </w:p>
    <w:p w:rsidR="00542C7E" w:rsidRDefault="00542C7E" w:rsidP="00542C7E">
      <w:pPr>
        <w:pStyle w:val="ListParagraph"/>
        <w:numPr>
          <w:ilvl w:val="0"/>
          <w:numId w:val="4"/>
        </w:numPr>
        <w:ind w:right="4"/>
        <w:rPr>
          <w:lang w:val="sr-Cyrl-CS"/>
        </w:rPr>
      </w:pPr>
      <w:r w:rsidRPr="00DB0A71">
        <w:rPr>
          <w:b/>
          <w:lang w:val="sr-Cyrl-CS"/>
        </w:rPr>
        <w:t>Историјска симулација или процентуални метод</w:t>
      </w:r>
      <w:r>
        <w:rPr>
          <w:lang w:val="sr-Cyrl-CS"/>
        </w:rPr>
        <w:t xml:space="preserve"> – </w:t>
      </w:r>
      <w:r w:rsidR="00C51F7E">
        <w:rPr>
          <w:lang w:val="sr-Cyrl-CS"/>
        </w:rPr>
        <w:t xml:space="preserve">непараметарска метода, </w:t>
      </w:r>
      <w:r w:rsidR="00C757AC">
        <w:rPr>
          <w:lang w:val="sr-Cyrl-CS"/>
        </w:rPr>
        <w:t xml:space="preserve">опсервације се </w:t>
      </w:r>
      <w:r w:rsidR="00C51F7E">
        <w:rPr>
          <w:lang w:val="sr-Cyrl-CS"/>
        </w:rPr>
        <w:t>сортира</w:t>
      </w:r>
      <w:r w:rsidR="00C757AC">
        <w:rPr>
          <w:lang w:val="sr-Cyrl-CS"/>
        </w:rPr>
        <w:t xml:space="preserve">ју, затим се поделе </w:t>
      </w:r>
      <w:r>
        <w:rPr>
          <w:lang w:val="sr-Cyrl-CS"/>
        </w:rPr>
        <w:t>у процентима. За волатилност се бира она промена цена која одговара изабраном нивоу поверења.</w:t>
      </w:r>
    </w:p>
    <w:p w:rsidR="00C51F7E" w:rsidRDefault="00C757AC" w:rsidP="00542C7E">
      <w:pPr>
        <w:pStyle w:val="ListParagraph"/>
        <w:numPr>
          <w:ilvl w:val="0"/>
          <w:numId w:val="4"/>
        </w:numPr>
        <w:ind w:right="4"/>
        <w:rPr>
          <w:lang w:val="sr-Cyrl-CS"/>
        </w:rPr>
      </w:pPr>
      <w:r w:rsidRPr="00DB0A71">
        <w:rPr>
          <w:b/>
          <w:i/>
          <w:lang w:val="sr-Latn-CS"/>
        </w:rPr>
        <w:t>BRW</w:t>
      </w:r>
      <w:r>
        <w:rPr>
          <w:lang w:val="sr-Cyrl-CS"/>
        </w:rPr>
        <w:t xml:space="preserve"> – представља метод историјске симулације у ком се сматра да подаци из блиске прошлости боље представљају будући ризик него старији подаци из прошлости. Подацима из блиске прошлости се додељују већи пондери, док се </w:t>
      </w:r>
      <w:r>
        <w:rPr>
          <w:lang w:val="sr-Cyrl-CS"/>
        </w:rPr>
        <w:lastRenderedPageBreak/>
        <w:t>удаљавањем ка старијим подацима пондери експоненцијално смањују. Овај метод боље реагује на нагле промене тржишта у односу на историјску симулацију која све податке третира једнако.</w:t>
      </w:r>
    </w:p>
    <w:p w:rsidR="00C757AC" w:rsidRPr="00542C7E" w:rsidRDefault="00C757AC" w:rsidP="00542C7E">
      <w:pPr>
        <w:pStyle w:val="ListParagraph"/>
        <w:numPr>
          <w:ilvl w:val="0"/>
          <w:numId w:val="4"/>
        </w:numPr>
        <w:ind w:right="4"/>
        <w:rPr>
          <w:lang w:val="sr-Cyrl-CS"/>
        </w:rPr>
      </w:pPr>
      <w:r w:rsidRPr="00DB0A71">
        <w:rPr>
          <w:b/>
          <w:i/>
          <w:lang w:val="sr-Latn-CS"/>
        </w:rPr>
        <w:t>EWMA, GARCH</w:t>
      </w:r>
      <w:r>
        <w:rPr>
          <w:lang w:val="sr-Latn-CS"/>
        </w:rPr>
        <w:t xml:space="preserve"> </w:t>
      </w:r>
      <w:r>
        <w:rPr>
          <w:lang w:val="sr-Cyrl-CS"/>
        </w:rPr>
        <w:t>методи.</w:t>
      </w:r>
    </w:p>
    <w:p w:rsidR="007B4EA1" w:rsidRDefault="007B4EA1" w:rsidP="00595C20">
      <w:pPr>
        <w:ind w:left="0" w:right="4" w:firstLine="0"/>
        <w:rPr>
          <w:b/>
          <w:noProof/>
          <w:lang w:val="sr-Cyrl-CS"/>
        </w:rPr>
      </w:pPr>
    </w:p>
    <w:p w:rsidR="0000515F" w:rsidRDefault="0000515F" w:rsidP="00595C20">
      <w:pPr>
        <w:ind w:left="0" w:right="4" w:firstLine="0"/>
        <w:rPr>
          <w:b/>
          <w:noProof/>
          <w:lang w:val="sr-Cyrl-CS"/>
        </w:rPr>
      </w:pPr>
      <w:r>
        <w:rPr>
          <w:b/>
          <w:noProof/>
          <w:lang w:val="sr-Cyrl-CS"/>
        </w:rPr>
        <w:t>Израчунавање стандардне девијације</w:t>
      </w:r>
    </w:p>
    <w:p w:rsidR="0000515F" w:rsidRDefault="0000515F" w:rsidP="00595C20">
      <w:pPr>
        <w:ind w:left="0" w:right="4" w:firstLine="0"/>
        <w:rPr>
          <w:b/>
          <w:noProof/>
          <w:lang w:val="sr-Cyrl-CS"/>
        </w:rPr>
      </w:pPr>
    </w:p>
    <w:p w:rsidR="009D6ADC" w:rsidRDefault="009D6ADC" w:rsidP="009D6ADC">
      <w:pPr>
        <w:ind w:left="0" w:right="4" w:hanging="5"/>
        <w:rPr>
          <w:lang w:val="sr-Cyrl-CS"/>
        </w:rPr>
      </w:pPr>
      <w:r>
        <w:rPr>
          <w:lang w:val="sr-Cyrl-CS"/>
        </w:rPr>
        <w:t>Стандардна девијација представља просечно одступање од средње вредности посматраног низа приноса. Њено израчунавање подр</w:t>
      </w:r>
      <w:r w:rsidR="00AB48F1">
        <w:rPr>
          <w:lang w:val="sr-Cyrl-CS"/>
        </w:rPr>
        <w:t>а</w:t>
      </w:r>
      <w:r>
        <w:rPr>
          <w:lang w:val="sr-Cyrl-CS"/>
        </w:rPr>
        <w:t>зумева примену следећих корака (слика 1):</w:t>
      </w:r>
    </w:p>
    <w:p w:rsidR="009D6ADC" w:rsidRDefault="009D6ADC" w:rsidP="009D6ADC">
      <w:pPr>
        <w:ind w:left="0" w:right="4" w:hanging="5"/>
        <w:rPr>
          <w:lang w:val="sr-Cyrl-CS"/>
        </w:rPr>
      </w:pPr>
    </w:p>
    <w:p w:rsidR="009D6ADC" w:rsidRDefault="009D6ADC" w:rsidP="009D6ADC">
      <w:pPr>
        <w:pStyle w:val="ListParagraph"/>
        <w:numPr>
          <w:ilvl w:val="0"/>
          <w:numId w:val="5"/>
        </w:numPr>
        <w:ind w:right="4"/>
        <w:rPr>
          <w:lang w:val="sr-Cyrl-CS"/>
        </w:rPr>
      </w:pPr>
      <w:r>
        <w:rPr>
          <w:lang w:val="sr-Cyrl-CS"/>
        </w:rPr>
        <w:t>Израчунавање средње</w:t>
      </w:r>
      <w:r w:rsidR="00C24470">
        <w:rPr>
          <w:lang w:val="sr-Cyrl-CS"/>
        </w:rPr>
        <w:t xml:space="preserve"> (просечне)</w:t>
      </w:r>
      <w:r>
        <w:rPr>
          <w:lang w:val="sr-Cyrl-CS"/>
        </w:rPr>
        <w:t xml:space="preserve"> вредности низа приноса.</w:t>
      </w:r>
    </w:p>
    <w:p w:rsidR="009D6ADC" w:rsidRDefault="009D6ADC" w:rsidP="009D6ADC">
      <w:pPr>
        <w:pStyle w:val="ListParagraph"/>
        <w:numPr>
          <w:ilvl w:val="0"/>
          <w:numId w:val="5"/>
        </w:numPr>
        <w:ind w:right="4"/>
        <w:rPr>
          <w:lang w:val="sr-Cyrl-CS"/>
        </w:rPr>
      </w:pPr>
      <w:r>
        <w:rPr>
          <w:lang w:val="sr-Cyrl-CS"/>
        </w:rPr>
        <w:t xml:space="preserve">Израчунавање </w:t>
      </w:r>
      <w:r w:rsidR="002E6151">
        <w:rPr>
          <w:lang w:val="sr-Cyrl-CS"/>
        </w:rPr>
        <w:t xml:space="preserve">појединачних </w:t>
      </w:r>
      <w:r>
        <w:rPr>
          <w:lang w:val="sr-Cyrl-CS"/>
        </w:rPr>
        <w:t xml:space="preserve">одступања </w:t>
      </w:r>
      <w:r w:rsidR="002E6151">
        <w:rPr>
          <w:lang w:val="sr-Cyrl-CS"/>
        </w:rPr>
        <w:t xml:space="preserve">свих </w:t>
      </w:r>
      <w:r>
        <w:rPr>
          <w:lang w:val="sr-Cyrl-CS"/>
        </w:rPr>
        <w:t xml:space="preserve">вредности </w:t>
      </w:r>
      <w:r w:rsidR="002E6151">
        <w:rPr>
          <w:lang w:val="sr-Cyrl-CS"/>
        </w:rPr>
        <w:t>низа</w:t>
      </w:r>
      <w:r>
        <w:rPr>
          <w:lang w:val="sr-Cyrl-CS"/>
        </w:rPr>
        <w:t xml:space="preserve"> од</w:t>
      </w:r>
      <w:r w:rsidR="00C24470">
        <w:rPr>
          <w:lang w:val="sr-Cyrl-CS"/>
        </w:rPr>
        <w:t xml:space="preserve"> </w:t>
      </w:r>
      <w:r>
        <w:rPr>
          <w:lang w:val="sr-Cyrl-CS"/>
        </w:rPr>
        <w:t>средње вредности</w:t>
      </w:r>
      <w:r w:rsidR="00A83857">
        <w:rPr>
          <w:lang w:val="sr-Cyrl-CS"/>
        </w:rPr>
        <w:t xml:space="preserve"> низа</w:t>
      </w:r>
      <w:r>
        <w:rPr>
          <w:lang w:val="sr-Cyrl-CS"/>
        </w:rPr>
        <w:t>.</w:t>
      </w:r>
    </w:p>
    <w:p w:rsidR="009D6ADC" w:rsidRDefault="009D6ADC" w:rsidP="009D6ADC">
      <w:pPr>
        <w:pStyle w:val="ListParagraph"/>
        <w:numPr>
          <w:ilvl w:val="0"/>
          <w:numId w:val="5"/>
        </w:numPr>
        <w:ind w:right="4"/>
        <w:rPr>
          <w:lang w:val="sr-Cyrl-CS"/>
        </w:rPr>
      </w:pPr>
      <w:r>
        <w:rPr>
          <w:lang w:val="sr-Cyrl-CS"/>
        </w:rPr>
        <w:t>Квадрирање</w:t>
      </w:r>
      <w:r w:rsidR="002E6151">
        <w:rPr>
          <w:lang w:val="sr-Cyrl-CS"/>
        </w:rPr>
        <w:t xml:space="preserve"> свих</w:t>
      </w:r>
      <w:r>
        <w:rPr>
          <w:lang w:val="sr-Cyrl-CS"/>
        </w:rPr>
        <w:t xml:space="preserve"> износа добијених појединачних одступања.</w:t>
      </w:r>
    </w:p>
    <w:p w:rsidR="009D6ADC" w:rsidRDefault="009D6ADC" w:rsidP="009D6ADC">
      <w:pPr>
        <w:pStyle w:val="ListParagraph"/>
        <w:numPr>
          <w:ilvl w:val="0"/>
          <w:numId w:val="5"/>
        </w:numPr>
        <w:ind w:right="4"/>
        <w:rPr>
          <w:lang w:val="sr-Cyrl-CS"/>
        </w:rPr>
      </w:pPr>
      <w:r>
        <w:rPr>
          <w:lang w:val="sr-Cyrl-CS"/>
        </w:rPr>
        <w:t xml:space="preserve">Израчунавање варијансе - сабирање квадрата </w:t>
      </w:r>
      <w:r w:rsidR="002E6151">
        <w:rPr>
          <w:lang w:val="sr-Cyrl-CS"/>
        </w:rPr>
        <w:t>појединачних</w:t>
      </w:r>
      <w:r>
        <w:rPr>
          <w:lang w:val="sr-Cyrl-CS"/>
        </w:rPr>
        <w:t xml:space="preserve"> одступања</w:t>
      </w:r>
      <w:r w:rsidR="002E6151" w:rsidRPr="002E6151">
        <w:rPr>
          <w:lang w:val="sr-Cyrl-CS"/>
        </w:rPr>
        <w:t xml:space="preserve"> </w:t>
      </w:r>
      <w:r w:rsidR="002E6151">
        <w:rPr>
          <w:lang w:val="sr-Cyrl-CS"/>
        </w:rPr>
        <w:t>од средње вредности</w:t>
      </w:r>
      <w:r w:rsidR="00DF1BC5">
        <w:rPr>
          <w:lang w:val="sr-Cyrl-CS"/>
        </w:rPr>
        <w:t xml:space="preserve"> низа</w:t>
      </w:r>
      <w:r>
        <w:rPr>
          <w:lang w:val="sr-Cyrl-CS"/>
        </w:rPr>
        <w:t xml:space="preserve"> и дељење добијеног збира са бројем опсервација</w:t>
      </w:r>
      <w:r w:rsidR="00983FA4">
        <w:rPr>
          <w:lang w:val="sr-Cyrl-CS"/>
        </w:rPr>
        <w:t xml:space="preserve"> </w:t>
      </w:r>
      <w:r w:rsidR="00983FA4" w:rsidRPr="00983FA4">
        <w:rPr>
          <w:i/>
          <w:lang w:val="sr-Latn-CS"/>
        </w:rPr>
        <w:t>n</w:t>
      </w:r>
      <w:r w:rsidR="00C24470">
        <w:rPr>
          <w:lang w:val="sr-Cyrl-CS"/>
        </w:rPr>
        <w:t xml:space="preserve"> (дескрипција</w:t>
      </w:r>
      <w:r w:rsidR="00DF1BC5">
        <w:rPr>
          <w:lang w:val="sr-Cyrl-CS"/>
        </w:rPr>
        <w:t xml:space="preserve"> података</w:t>
      </w:r>
      <w:r w:rsidR="00C24470">
        <w:rPr>
          <w:lang w:val="sr-Cyrl-CS"/>
        </w:rPr>
        <w:t>), односно</w:t>
      </w:r>
      <w:r w:rsidR="00983FA4">
        <w:rPr>
          <w:lang w:val="sr-Latn-CS"/>
        </w:rPr>
        <w:t xml:space="preserve"> </w:t>
      </w:r>
      <w:r w:rsidR="00983FA4">
        <w:rPr>
          <w:lang w:val="sr-Cyrl-CS"/>
        </w:rPr>
        <w:t>са</w:t>
      </w:r>
      <w:r w:rsidR="00C24470">
        <w:rPr>
          <w:lang w:val="sr-Cyrl-CS"/>
        </w:rPr>
        <w:t xml:space="preserve"> </w:t>
      </w:r>
      <w:r w:rsidR="00983FA4" w:rsidRPr="00983FA4">
        <w:rPr>
          <w:i/>
          <w:lang w:val="sr-Latn-CS"/>
        </w:rPr>
        <w:t>n-</w:t>
      </w:r>
      <w:r w:rsidR="009605C8" w:rsidRPr="00983FA4">
        <w:rPr>
          <w:i/>
          <w:lang w:val="sr-Cyrl-CS"/>
        </w:rPr>
        <w:t>1</w:t>
      </w:r>
      <w:r w:rsidR="009605C8">
        <w:rPr>
          <w:lang w:val="sr-Cyrl-CS"/>
        </w:rPr>
        <w:t xml:space="preserve"> (статистичко закључивање)</w:t>
      </w:r>
      <w:r>
        <w:rPr>
          <w:lang w:val="sr-Cyrl-CS"/>
        </w:rPr>
        <w:t>.</w:t>
      </w:r>
    </w:p>
    <w:p w:rsidR="009D6ADC" w:rsidRDefault="009D6ADC" w:rsidP="009D6ADC">
      <w:pPr>
        <w:pStyle w:val="ListParagraph"/>
        <w:numPr>
          <w:ilvl w:val="0"/>
          <w:numId w:val="5"/>
        </w:numPr>
        <w:ind w:right="4"/>
        <w:rPr>
          <w:lang w:val="sr-Cyrl-CS"/>
        </w:rPr>
      </w:pPr>
      <w:r>
        <w:rPr>
          <w:lang w:val="sr-Cyrl-CS"/>
        </w:rPr>
        <w:t>Израчунавање стандардне девијације – квадратни корен из варијансе.</w:t>
      </w:r>
    </w:p>
    <w:p w:rsidR="0000515F" w:rsidRDefault="0000515F" w:rsidP="00595C20">
      <w:pPr>
        <w:ind w:left="0" w:right="4" w:firstLine="0"/>
        <w:rPr>
          <w:noProof/>
          <w:lang w:val="sr-Cyrl-CS"/>
        </w:rPr>
      </w:pPr>
    </w:p>
    <w:p w:rsidR="002E6151" w:rsidRDefault="002E6151" w:rsidP="00595C20">
      <w:pPr>
        <w:ind w:left="0" w:right="4" w:firstLine="0"/>
        <w:rPr>
          <w:noProof/>
          <w:lang w:val="sr-Cyrl-CS"/>
        </w:rPr>
      </w:pPr>
      <w:r w:rsidRPr="000D2768">
        <w:rPr>
          <w:b/>
          <w:i/>
          <w:noProof/>
          <w:lang w:val="sr-Latn-CS"/>
        </w:rPr>
        <w:t>Excel</w:t>
      </w:r>
      <w:r w:rsidRPr="000D2768">
        <w:rPr>
          <w:b/>
          <w:noProof/>
          <w:lang w:val="sr-Latn-CS"/>
        </w:rPr>
        <w:t xml:space="preserve"> </w:t>
      </w:r>
      <w:r>
        <w:rPr>
          <w:noProof/>
          <w:lang w:val="sr-Cyrl-CS"/>
        </w:rPr>
        <w:t xml:space="preserve">формула за израчунавање стандардне девијације је </w:t>
      </w:r>
      <w:r w:rsidRPr="000D2768">
        <w:rPr>
          <w:b/>
          <w:i/>
          <w:noProof/>
          <w:lang w:val="sr-Latn-CS"/>
        </w:rPr>
        <w:t>STDEV</w:t>
      </w:r>
      <w:r>
        <w:rPr>
          <w:noProof/>
          <w:lang w:val="sr-Latn-CS"/>
        </w:rPr>
        <w:t>.</w:t>
      </w:r>
    </w:p>
    <w:p w:rsidR="00467D41" w:rsidRDefault="00467D41" w:rsidP="00595C20">
      <w:pPr>
        <w:ind w:left="0" w:right="4" w:firstLine="0"/>
        <w:rPr>
          <w:noProof/>
          <w:lang w:val="sr-Cyrl-CS"/>
        </w:rPr>
      </w:pPr>
    </w:p>
    <w:p w:rsidR="00755FFC" w:rsidRPr="00755FFC" w:rsidRDefault="00755FFC" w:rsidP="00595C20">
      <w:pPr>
        <w:ind w:left="0" w:right="4" w:firstLine="0"/>
        <w:rPr>
          <w:b/>
          <w:noProof/>
          <w:lang w:val="sr-Cyrl-CS"/>
        </w:rPr>
      </w:pPr>
      <w:r w:rsidRPr="00755FFC">
        <w:rPr>
          <w:b/>
          <w:noProof/>
          <w:lang w:val="sr-Cyrl-CS"/>
        </w:rPr>
        <w:t>Пример</w:t>
      </w:r>
      <w:r w:rsidR="00B82E37">
        <w:rPr>
          <w:b/>
          <w:noProof/>
          <w:lang w:val="sr-Latn-CS"/>
        </w:rPr>
        <w:t xml:space="preserve"> (</w:t>
      </w:r>
      <w:r w:rsidR="00B82E37">
        <w:rPr>
          <w:b/>
          <w:noProof/>
          <w:lang w:val="sr-Cyrl-CS"/>
        </w:rPr>
        <w:t>дескрипција података)</w:t>
      </w:r>
      <w:r w:rsidRPr="00755FFC">
        <w:rPr>
          <w:b/>
          <w:noProof/>
          <w:lang w:val="sr-Cyrl-CS"/>
        </w:rPr>
        <w:t>:</w:t>
      </w:r>
    </w:p>
    <w:p w:rsidR="00615905" w:rsidRPr="00467D41" w:rsidRDefault="00615905" w:rsidP="00595C20">
      <w:pPr>
        <w:ind w:left="0" w:right="4" w:firstLine="0"/>
        <w:rPr>
          <w:noProof/>
          <w:lang w:val="sr-Cyrl-CS"/>
        </w:rPr>
      </w:pPr>
    </w:p>
    <w:p w:rsidR="007C6369" w:rsidRPr="00467D41" w:rsidRDefault="00467D41" w:rsidP="00467D41">
      <w:pPr>
        <w:ind w:left="0" w:right="4" w:firstLine="0"/>
        <w:jc w:val="center"/>
        <w:rPr>
          <w:noProof/>
          <w:lang w:val="sr-Cyrl-CS"/>
        </w:rPr>
      </w:pPr>
      <w:r>
        <w:rPr>
          <w:noProof/>
        </w:rPr>
        <w:drawing>
          <wp:inline distT="0" distB="0" distL="0" distR="0">
            <wp:extent cx="6012815" cy="2812415"/>
            <wp:effectExtent l="19050" t="0" r="698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20000" contrast="40000"/>
                    </a:blip>
                    <a:srcRect/>
                    <a:stretch>
                      <a:fillRect/>
                    </a:stretch>
                  </pic:blipFill>
                  <pic:spPr bwMode="auto">
                    <a:xfrm>
                      <a:off x="0" y="0"/>
                      <a:ext cx="6012815" cy="2812415"/>
                    </a:xfrm>
                    <a:prstGeom prst="rect">
                      <a:avLst/>
                    </a:prstGeom>
                    <a:noFill/>
                    <a:ln w="9525">
                      <a:noFill/>
                      <a:miter lim="800000"/>
                      <a:headEnd/>
                      <a:tailEnd/>
                    </a:ln>
                  </pic:spPr>
                </pic:pic>
              </a:graphicData>
            </a:graphic>
          </wp:inline>
        </w:drawing>
      </w:r>
    </w:p>
    <w:p w:rsidR="007C6369" w:rsidRPr="00595C20" w:rsidRDefault="00595C20" w:rsidP="00982596">
      <w:pPr>
        <w:ind w:left="0" w:right="4" w:hanging="5"/>
        <w:jc w:val="center"/>
        <w:rPr>
          <w:sz w:val="22"/>
          <w:szCs w:val="22"/>
          <w:lang w:val="sr-Cyrl-CS"/>
        </w:rPr>
      </w:pPr>
      <w:r w:rsidRPr="00595C20">
        <w:rPr>
          <w:i/>
          <w:sz w:val="22"/>
          <w:szCs w:val="22"/>
          <w:lang w:val="sr-Cyrl-CS"/>
        </w:rPr>
        <w:t>Слика1.</w:t>
      </w:r>
      <w:r w:rsidRPr="00595C20">
        <w:rPr>
          <w:sz w:val="22"/>
          <w:szCs w:val="22"/>
          <w:lang w:val="sr-Cyrl-CS"/>
        </w:rPr>
        <w:t xml:space="preserve"> Пример израчунавања стандардне девијације</w:t>
      </w:r>
      <w:r w:rsidR="00982596">
        <w:rPr>
          <w:sz w:val="22"/>
          <w:szCs w:val="22"/>
          <w:lang w:val="sr-Cyrl-CS"/>
        </w:rPr>
        <w:t xml:space="preserve"> (дескрипција података)</w:t>
      </w:r>
    </w:p>
    <w:p w:rsidR="00A853CC" w:rsidRPr="00EC5035" w:rsidRDefault="00C24470" w:rsidP="00EC5035">
      <w:pPr>
        <w:pStyle w:val="ListParagraph"/>
        <w:ind w:left="0" w:right="4" w:firstLine="0"/>
        <w:jc w:val="center"/>
        <w:rPr>
          <w:sz w:val="20"/>
          <w:szCs w:val="20"/>
          <w:lang w:val="sr-Cyrl-CS"/>
        </w:rPr>
      </w:pPr>
      <w:r w:rsidRPr="00C24470">
        <w:rPr>
          <w:sz w:val="20"/>
          <w:szCs w:val="20"/>
          <w:lang w:val="sr-Cyrl-CS"/>
        </w:rPr>
        <w:t xml:space="preserve">Извор: Адаптирано према: Ћировић, М. (2006). </w:t>
      </w:r>
      <w:r w:rsidRPr="00C24470">
        <w:rPr>
          <w:i/>
          <w:sz w:val="20"/>
          <w:szCs w:val="20"/>
          <w:lang w:val="sr-Cyrl-CS"/>
        </w:rPr>
        <w:t>Банкарство</w:t>
      </w:r>
      <w:r w:rsidRPr="00C24470">
        <w:rPr>
          <w:sz w:val="20"/>
          <w:szCs w:val="20"/>
          <w:lang w:val="sr-Cyrl-CS"/>
        </w:rPr>
        <w:t>. Београд: Европски центар за мир и развој, страна 326.</w:t>
      </w:r>
    </w:p>
    <w:p w:rsidR="00E12F62" w:rsidRPr="00E12F62" w:rsidRDefault="00E12F62" w:rsidP="000465DB">
      <w:pPr>
        <w:ind w:left="0" w:right="4" w:hanging="5"/>
        <w:rPr>
          <w:b/>
          <w:lang w:val="sr-Cyrl-CS"/>
        </w:rPr>
      </w:pPr>
      <w:r w:rsidRPr="00E12F62">
        <w:rPr>
          <w:b/>
          <w:lang w:val="sr-Cyrl-CS"/>
        </w:rPr>
        <w:t>Ниво поверења</w:t>
      </w:r>
    </w:p>
    <w:p w:rsidR="00E12F62" w:rsidRDefault="00E12F62" w:rsidP="000465DB">
      <w:pPr>
        <w:ind w:left="0" w:right="4" w:hanging="5"/>
        <w:rPr>
          <w:lang w:val="sr-Cyrl-CS"/>
        </w:rPr>
      </w:pPr>
    </w:p>
    <w:p w:rsidR="002831F5" w:rsidRPr="00E12F62" w:rsidRDefault="00E12F62" w:rsidP="00E12F62">
      <w:pPr>
        <w:ind w:left="0" w:right="4" w:firstLine="0"/>
        <w:rPr>
          <w:lang w:val="sr-Cyrl-CS"/>
        </w:rPr>
      </w:pPr>
      <w:r w:rsidRPr="00E12F62">
        <w:rPr>
          <w:lang w:val="sr-Cyrl-CS"/>
        </w:rPr>
        <w:t>Ниво поверења представља вероватноћу да губитак премаши израчунату вредност ВаР-а. ВаР се најчешће рачуна за ниво поверења од 95% и 99%. На основу правила 3δ</w:t>
      </w:r>
      <w:r w:rsidR="00D64176">
        <w:rPr>
          <w:lang w:val="sr-Cyrl-CS"/>
        </w:rPr>
        <w:t xml:space="preserve"> важи</w:t>
      </w:r>
      <w:r w:rsidRPr="00E12F62">
        <w:rPr>
          <w:lang w:val="sr-Cyrl-CS"/>
        </w:rPr>
        <w:t>:</w:t>
      </w:r>
    </w:p>
    <w:p w:rsidR="00E12F62" w:rsidRDefault="00E12F62" w:rsidP="00E12F62">
      <w:pPr>
        <w:ind w:left="0" w:right="4" w:firstLine="0"/>
        <w:rPr>
          <w:b/>
          <w:lang w:val="sr-Cyrl-CS"/>
        </w:rPr>
      </w:pPr>
    </w:p>
    <w:p w:rsidR="00E12F62" w:rsidRPr="00E12F62" w:rsidRDefault="00D64176" w:rsidP="00E12F62">
      <w:pPr>
        <w:pStyle w:val="ListParagraph"/>
        <w:numPr>
          <w:ilvl w:val="0"/>
          <w:numId w:val="9"/>
        </w:numPr>
        <w:ind w:right="4"/>
        <w:rPr>
          <w:lang w:val="sr-Cyrl-CS"/>
        </w:rPr>
      </w:pPr>
      <w:r>
        <w:rPr>
          <w:b/>
          <w:lang w:val="sr-Cyrl-CS"/>
        </w:rPr>
        <w:lastRenderedPageBreak/>
        <w:t>ј</w:t>
      </w:r>
      <w:r w:rsidR="00E12F62">
        <w:rPr>
          <w:b/>
          <w:lang w:val="sr-Cyrl-CS"/>
        </w:rPr>
        <w:t>еднострука стандардна девијација (</w:t>
      </w:r>
      <w:r w:rsidR="00E12F62" w:rsidRPr="007B7F78">
        <w:rPr>
          <w:b/>
          <w:lang w:val="sr-Cyrl-CS"/>
        </w:rPr>
        <w:t>δ</w:t>
      </w:r>
      <w:r w:rsidR="00E12F62">
        <w:rPr>
          <w:b/>
          <w:lang w:val="sr-Cyrl-CS"/>
        </w:rPr>
        <w:t>) – ниво поверења 68%,</w:t>
      </w:r>
    </w:p>
    <w:p w:rsidR="00E12F62" w:rsidRPr="00E12F62" w:rsidRDefault="00E12F62" w:rsidP="00E12F62">
      <w:pPr>
        <w:pStyle w:val="ListParagraph"/>
        <w:numPr>
          <w:ilvl w:val="0"/>
          <w:numId w:val="9"/>
        </w:numPr>
        <w:ind w:right="4"/>
        <w:rPr>
          <w:lang w:val="sr-Cyrl-CS"/>
        </w:rPr>
      </w:pPr>
      <w:r>
        <w:rPr>
          <w:b/>
          <w:lang w:val="sr-Cyrl-CS"/>
        </w:rPr>
        <w:t>1,65-острука стандардна девијација (1.65</w:t>
      </w:r>
      <w:r w:rsidRPr="007B7F78">
        <w:rPr>
          <w:b/>
          <w:lang w:val="sr-Cyrl-CS"/>
        </w:rPr>
        <w:t>δ</w:t>
      </w:r>
      <w:r>
        <w:rPr>
          <w:b/>
          <w:lang w:val="sr-Cyrl-CS"/>
        </w:rPr>
        <w:t>) – ниво поверења 95%,</w:t>
      </w:r>
    </w:p>
    <w:p w:rsidR="00E12F62" w:rsidRPr="00E12F62" w:rsidRDefault="00E12F62" w:rsidP="00E12F62">
      <w:pPr>
        <w:pStyle w:val="ListParagraph"/>
        <w:numPr>
          <w:ilvl w:val="0"/>
          <w:numId w:val="9"/>
        </w:numPr>
        <w:ind w:right="4"/>
        <w:rPr>
          <w:lang w:val="sr-Cyrl-CS"/>
        </w:rPr>
      </w:pPr>
      <w:r>
        <w:rPr>
          <w:b/>
          <w:lang w:val="sr-Cyrl-CS"/>
        </w:rPr>
        <w:t>2.33-острука</w:t>
      </w:r>
      <w:r w:rsidRPr="00E12F62">
        <w:rPr>
          <w:b/>
          <w:lang w:val="sr-Cyrl-CS"/>
        </w:rPr>
        <w:t xml:space="preserve"> </w:t>
      </w:r>
      <w:r>
        <w:rPr>
          <w:b/>
          <w:lang w:val="sr-Cyrl-CS"/>
        </w:rPr>
        <w:t>стандардна девијација (2.33</w:t>
      </w:r>
      <w:r w:rsidRPr="007B7F78">
        <w:rPr>
          <w:b/>
          <w:lang w:val="sr-Cyrl-CS"/>
        </w:rPr>
        <w:t>δ</w:t>
      </w:r>
      <w:r>
        <w:rPr>
          <w:b/>
          <w:lang w:val="sr-Cyrl-CS"/>
        </w:rPr>
        <w:t>) – ниво поверења 99%.</w:t>
      </w:r>
    </w:p>
    <w:p w:rsidR="00E12F62" w:rsidRDefault="00E12F62" w:rsidP="00D64176">
      <w:pPr>
        <w:ind w:right="4"/>
        <w:rPr>
          <w:lang w:val="sr-Cyrl-CS"/>
        </w:rPr>
      </w:pPr>
    </w:p>
    <w:p w:rsidR="00D64176" w:rsidRDefault="00D64176" w:rsidP="00D64176">
      <w:pPr>
        <w:ind w:left="0" w:right="4" w:hanging="5"/>
        <w:rPr>
          <w:lang w:val="sr-Cyrl-CS"/>
        </w:rPr>
      </w:pPr>
      <w:r w:rsidRPr="007B7F78">
        <w:rPr>
          <w:lang w:val="sr-Cyrl-CS"/>
        </w:rPr>
        <w:t xml:space="preserve">1,65-струка стандардна девијација даје интервал поверења од 90% </w:t>
      </w:r>
      <w:r>
        <w:rPr>
          <w:lang w:val="sr-Cyrl-CS"/>
        </w:rPr>
        <w:t xml:space="preserve">. То значи да ће </w:t>
      </w:r>
      <w:r w:rsidRPr="007B7F78">
        <w:rPr>
          <w:lang w:val="sr-Cyrl-CS"/>
        </w:rPr>
        <w:t xml:space="preserve">5% промена </w:t>
      </w:r>
      <w:r w:rsidR="00A853CC">
        <w:rPr>
          <w:lang w:val="sr-Cyrl-CS"/>
        </w:rPr>
        <w:t>приноса</w:t>
      </w:r>
      <w:r w:rsidR="007B52DA">
        <w:rPr>
          <w:lang w:val="sr-Cyrl-CS"/>
        </w:rPr>
        <w:t xml:space="preserve"> бити изван 1,65</w:t>
      </w:r>
      <w:r w:rsidRPr="007B7F78">
        <w:rPr>
          <w:lang w:val="sr-Cyrl-CS"/>
        </w:rPr>
        <w:t>δ</w:t>
      </w:r>
      <w:r>
        <w:rPr>
          <w:lang w:val="sr-Cyrl-CS"/>
        </w:rPr>
        <w:t xml:space="preserve"> (на ниже)</w:t>
      </w:r>
      <w:r w:rsidRPr="007B7F78">
        <w:rPr>
          <w:lang w:val="sr-Cyrl-CS"/>
        </w:rPr>
        <w:t>, док ће 5% промена пр</w:t>
      </w:r>
      <w:r w:rsidR="002F5463">
        <w:rPr>
          <w:lang w:val="sr-Cyrl-CS"/>
        </w:rPr>
        <w:t>иноса</w:t>
      </w:r>
      <w:r w:rsidRPr="007B7F78">
        <w:rPr>
          <w:lang w:val="sr-Cyrl-CS"/>
        </w:rPr>
        <w:t xml:space="preserve"> бити изван интервала 1,65 δ</w:t>
      </w:r>
      <w:r>
        <w:rPr>
          <w:lang w:val="sr-Cyrl-CS"/>
        </w:rPr>
        <w:t xml:space="preserve"> (на више</w:t>
      </w:r>
      <w:r w:rsidRPr="007B7F78">
        <w:rPr>
          <w:lang w:val="sr-Cyrl-CS"/>
        </w:rPr>
        <w:t xml:space="preserve">). Пошто нас занимају само губици, </w:t>
      </w:r>
      <w:r>
        <w:rPr>
          <w:lang w:val="sr-Cyrl-CS"/>
        </w:rPr>
        <w:t>проме</w:t>
      </w:r>
      <w:r w:rsidR="004A2797">
        <w:rPr>
          <w:lang w:val="sr-Cyrl-CS"/>
        </w:rPr>
        <w:t>не</w:t>
      </w:r>
      <w:r w:rsidR="002F5463">
        <w:rPr>
          <w:lang w:val="sr-Cyrl-CS"/>
        </w:rPr>
        <w:t xml:space="preserve"> приноса</w:t>
      </w:r>
      <w:r>
        <w:rPr>
          <w:lang w:val="sr-Cyrl-CS"/>
        </w:rPr>
        <w:t xml:space="preserve"> на више</w:t>
      </w:r>
      <w:r w:rsidR="002F5463">
        <w:rPr>
          <w:lang w:val="sr-Cyrl-CS"/>
        </w:rPr>
        <w:t xml:space="preserve"> се</w:t>
      </w:r>
      <w:r>
        <w:rPr>
          <w:lang w:val="sr-Cyrl-CS"/>
        </w:rPr>
        <w:t xml:space="preserve"> не разматра</w:t>
      </w:r>
      <w:r w:rsidR="002F5463">
        <w:rPr>
          <w:lang w:val="sr-Cyrl-CS"/>
        </w:rPr>
        <w:t>ју,</w:t>
      </w:r>
      <w:r>
        <w:rPr>
          <w:lang w:val="sr-Cyrl-CS"/>
        </w:rPr>
        <w:t xml:space="preserve"> </w:t>
      </w:r>
      <w:r w:rsidR="002F5463">
        <w:rPr>
          <w:lang w:val="sr-Cyrl-CS"/>
        </w:rPr>
        <w:t>што наводи на закључак</w:t>
      </w:r>
      <w:r w:rsidRPr="007B7F78">
        <w:rPr>
          <w:lang w:val="sr-Cyrl-CS"/>
        </w:rPr>
        <w:t xml:space="preserve"> да</w:t>
      </w:r>
      <w:r w:rsidR="004A2797">
        <w:rPr>
          <w:lang w:val="sr-Cyrl-CS"/>
        </w:rPr>
        <w:t xml:space="preserve"> </w:t>
      </w:r>
      <w:r w:rsidRPr="007B7F78">
        <w:rPr>
          <w:lang w:val="sr-Cyrl-CS"/>
        </w:rPr>
        <w:t xml:space="preserve">интервал поверења од 90% </w:t>
      </w:r>
      <w:r w:rsidR="004A2797">
        <w:rPr>
          <w:lang w:val="sr-Cyrl-CS"/>
        </w:rPr>
        <w:t xml:space="preserve">представља </w:t>
      </w:r>
      <w:r>
        <w:rPr>
          <w:lang w:val="sr-Cyrl-CS"/>
        </w:rPr>
        <w:t>ниво поверења</w:t>
      </w:r>
      <w:r w:rsidR="002F5463">
        <w:rPr>
          <w:lang w:val="sr-Cyrl-CS"/>
        </w:rPr>
        <w:t xml:space="preserve"> ВаР-а</w:t>
      </w:r>
      <w:r>
        <w:rPr>
          <w:lang w:val="sr-Cyrl-CS"/>
        </w:rPr>
        <w:t xml:space="preserve"> од 95%. Исти принцип важи  за ниво поверења од 99%.</w:t>
      </w:r>
    </w:p>
    <w:p w:rsidR="00EF3B6C" w:rsidRPr="00D64176" w:rsidRDefault="00EF3B6C" w:rsidP="00D64176">
      <w:pPr>
        <w:ind w:left="0" w:right="4" w:hanging="5"/>
        <w:rPr>
          <w:lang w:val="sr-Cyrl-CS"/>
        </w:rPr>
      </w:pPr>
    </w:p>
    <w:p w:rsidR="002831F5" w:rsidRDefault="00AF3041" w:rsidP="00755FFC">
      <w:pPr>
        <w:ind w:left="0" w:right="4" w:hanging="5"/>
        <w:jc w:val="center"/>
        <w:rPr>
          <w:lang w:val="sr-Cyrl-CS"/>
        </w:rPr>
      </w:pPr>
      <w:r>
        <w:rPr>
          <w:noProof/>
        </w:rPr>
        <w:drawing>
          <wp:inline distT="0" distB="0" distL="0" distR="0">
            <wp:extent cx="5251015" cy="3514725"/>
            <wp:effectExtent l="19050" t="0" r="67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40000" contrast="40000"/>
                    </a:blip>
                    <a:srcRect/>
                    <a:stretch>
                      <a:fillRect/>
                    </a:stretch>
                  </pic:blipFill>
                  <pic:spPr bwMode="auto">
                    <a:xfrm>
                      <a:off x="0" y="0"/>
                      <a:ext cx="5253167" cy="3516165"/>
                    </a:xfrm>
                    <a:prstGeom prst="rect">
                      <a:avLst/>
                    </a:prstGeom>
                    <a:noFill/>
                    <a:ln w="9525">
                      <a:noFill/>
                      <a:miter lim="800000"/>
                      <a:headEnd/>
                      <a:tailEnd/>
                    </a:ln>
                  </pic:spPr>
                </pic:pic>
              </a:graphicData>
            </a:graphic>
          </wp:inline>
        </w:drawing>
      </w:r>
    </w:p>
    <w:p w:rsidR="002831F5" w:rsidRPr="00E12F62" w:rsidRDefault="00E12F62" w:rsidP="00A57E70">
      <w:pPr>
        <w:ind w:right="4"/>
        <w:jc w:val="center"/>
        <w:rPr>
          <w:sz w:val="20"/>
          <w:szCs w:val="20"/>
          <w:lang w:val="sr-Cyrl-CS"/>
        </w:rPr>
      </w:pPr>
      <w:r w:rsidRPr="00E12F62">
        <w:rPr>
          <w:sz w:val="20"/>
          <w:szCs w:val="20"/>
          <w:lang w:val="sr-Cyrl-CS"/>
        </w:rPr>
        <w:t>Графи</w:t>
      </w:r>
      <w:r w:rsidR="00A57E70" w:rsidRPr="00E12F62">
        <w:rPr>
          <w:sz w:val="20"/>
          <w:szCs w:val="20"/>
          <w:lang w:val="sr-Cyrl-CS"/>
        </w:rPr>
        <w:t>к</w:t>
      </w:r>
      <w:r w:rsidRPr="00E12F62">
        <w:rPr>
          <w:sz w:val="20"/>
          <w:szCs w:val="20"/>
          <w:lang w:val="sr-Cyrl-CS"/>
        </w:rPr>
        <w:t xml:space="preserve">он </w:t>
      </w:r>
      <w:r w:rsidR="00A57E70" w:rsidRPr="00E12F62">
        <w:rPr>
          <w:sz w:val="20"/>
          <w:szCs w:val="20"/>
          <w:lang w:val="sr-Cyrl-CS"/>
        </w:rPr>
        <w:t>1. Графички приказ прорачуна ВаР аналитичком методом</w:t>
      </w:r>
    </w:p>
    <w:p w:rsidR="002F5463" w:rsidRDefault="002F5463" w:rsidP="00A57E70">
      <w:pPr>
        <w:ind w:left="0" w:right="4" w:firstLine="0"/>
        <w:rPr>
          <w:lang w:val="sr-Cyrl-CS"/>
        </w:rPr>
      </w:pPr>
    </w:p>
    <w:p w:rsidR="00A57E70" w:rsidRDefault="00356F1E" w:rsidP="00A57E70">
      <w:pPr>
        <w:ind w:left="0" w:right="4" w:firstLine="0"/>
        <w:rPr>
          <w:lang w:val="sr-Cyrl-CS"/>
        </w:rPr>
      </w:pPr>
      <w:r>
        <w:rPr>
          <w:lang w:val="sr-Cyrl-CS"/>
        </w:rPr>
        <w:t xml:space="preserve">Важно је запазити </w:t>
      </w:r>
      <w:r w:rsidR="00A57E70">
        <w:rPr>
          <w:lang w:val="sr-Cyrl-CS"/>
        </w:rPr>
        <w:t>следеће</w:t>
      </w:r>
      <w:r w:rsidR="007D2434">
        <w:rPr>
          <w:lang w:val="sr-Cyrl-CS"/>
        </w:rPr>
        <w:t xml:space="preserve"> (види криву)</w:t>
      </w:r>
      <w:r w:rsidR="00A57E70">
        <w:rPr>
          <w:lang w:val="sr-Cyrl-CS"/>
        </w:rPr>
        <w:t>:</w:t>
      </w:r>
    </w:p>
    <w:p w:rsidR="00A57E70" w:rsidRPr="00A57E70" w:rsidRDefault="00A57E70" w:rsidP="00A57E70">
      <w:pPr>
        <w:ind w:left="0" w:right="4" w:firstLine="0"/>
        <w:rPr>
          <w:lang w:val="sr-Cyrl-CS"/>
        </w:rPr>
      </w:pPr>
    </w:p>
    <w:p w:rsidR="002831F5" w:rsidRDefault="004104DC" w:rsidP="0011506D">
      <w:pPr>
        <w:pStyle w:val="ListParagraph"/>
        <w:numPr>
          <w:ilvl w:val="0"/>
          <w:numId w:val="8"/>
        </w:numPr>
        <w:ind w:right="4"/>
        <w:rPr>
          <w:lang w:val="sr-Cyrl-CS"/>
        </w:rPr>
      </w:pPr>
      <w:r>
        <w:rPr>
          <w:lang w:val="sr-Cyrl-CS"/>
        </w:rPr>
        <w:t>Просечна вредност пр</w:t>
      </w:r>
      <w:r w:rsidR="00EF3B6C">
        <w:rPr>
          <w:lang w:val="sr-Cyrl-CS"/>
        </w:rPr>
        <w:t>иноса</w:t>
      </w:r>
      <w:r>
        <w:rPr>
          <w:lang w:val="sr-Cyrl-CS"/>
        </w:rPr>
        <w:t xml:space="preserve"> представља очекивани пр</w:t>
      </w:r>
      <w:r w:rsidR="002E6CDD">
        <w:rPr>
          <w:lang w:val="sr-Cyrl-CS"/>
        </w:rPr>
        <w:t>инос</w:t>
      </w:r>
      <w:r w:rsidR="002F5463">
        <w:rPr>
          <w:lang w:val="sr-Cyrl-CS"/>
        </w:rPr>
        <w:t>, јер је највише промена груписано око те вредности</w:t>
      </w:r>
      <w:r>
        <w:rPr>
          <w:lang w:val="sr-Cyrl-CS"/>
        </w:rPr>
        <w:t xml:space="preserve"> </w:t>
      </w:r>
    </w:p>
    <w:p w:rsidR="004104DC" w:rsidRPr="00DB0A71" w:rsidRDefault="00DB0A71" w:rsidP="0011506D">
      <w:pPr>
        <w:pStyle w:val="ListParagraph"/>
        <w:numPr>
          <w:ilvl w:val="0"/>
          <w:numId w:val="8"/>
        </w:numPr>
        <w:ind w:right="4"/>
        <w:rPr>
          <w:lang w:val="sr-Cyrl-CS"/>
        </w:rPr>
      </w:pPr>
      <w:r w:rsidRPr="00DB0A71">
        <w:rPr>
          <w:lang w:val="sr-Cyrl-CS"/>
        </w:rPr>
        <w:t>ВаР је рачунат за ниво поверења од 99%</w:t>
      </w:r>
      <w:r>
        <w:rPr>
          <w:lang w:val="sr-Cyrl-CS"/>
        </w:rPr>
        <w:t xml:space="preserve"> (</w:t>
      </w:r>
      <w:r w:rsidRPr="00EF3B6C">
        <w:rPr>
          <w:lang w:val="sr-Cyrl-CS"/>
        </w:rPr>
        <w:t>2,33δ</w:t>
      </w:r>
      <w:r>
        <w:rPr>
          <w:lang w:val="sr-Cyrl-CS"/>
        </w:rPr>
        <w:t>)</w:t>
      </w:r>
      <w:r w:rsidRPr="00DB0A71">
        <w:rPr>
          <w:lang w:val="sr-Cyrl-CS"/>
        </w:rPr>
        <w:t>.</w:t>
      </w:r>
    </w:p>
    <w:p w:rsidR="00EF3B6C" w:rsidRDefault="002F5463" w:rsidP="00557049">
      <w:pPr>
        <w:pStyle w:val="ListParagraph"/>
        <w:numPr>
          <w:ilvl w:val="0"/>
          <w:numId w:val="8"/>
        </w:numPr>
        <w:ind w:right="4"/>
        <w:rPr>
          <w:lang w:val="sr-Cyrl-CS"/>
        </w:rPr>
      </w:pPr>
      <w:r>
        <w:rPr>
          <w:lang w:val="sr-Cyrl-CS"/>
        </w:rPr>
        <w:t>Апсолутни ВаР (</w:t>
      </w:r>
      <w:r w:rsidR="007B7F78">
        <w:rPr>
          <w:lang w:val="sr-Cyrl-CS"/>
        </w:rPr>
        <w:t>ВаР</w:t>
      </w:r>
      <w:r w:rsidR="007B7F78">
        <w:rPr>
          <w:vertAlign w:val="superscript"/>
          <w:lang w:val="sr-Cyrl-CS"/>
        </w:rPr>
        <w:t>,</w:t>
      </w:r>
      <w:r>
        <w:rPr>
          <w:lang w:val="sr-Cyrl-CS"/>
        </w:rPr>
        <w:t>) представљаје разлику</w:t>
      </w:r>
      <w:r w:rsidR="008267D4" w:rsidRPr="008267D4">
        <w:rPr>
          <w:lang w:val="sr-Cyrl-CS"/>
        </w:rPr>
        <w:t xml:space="preserve"> између</w:t>
      </w:r>
      <w:r w:rsidR="00114785">
        <w:rPr>
          <w:lang w:val="sr-Cyrl-CS"/>
        </w:rPr>
        <w:t xml:space="preserve"> </w:t>
      </w:r>
      <w:r w:rsidR="00114785" w:rsidRPr="00EF3B6C">
        <w:rPr>
          <w:lang w:val="sr-Cyrl-CS"/>
        </w:rPr>
        <w:t>2,33δ</w:t>
      </w:r>
      <w:r w:rsidR="00114785">
        <w:rPr>
          <w:lang w:val="sr-Cyrl-CS"/>
        </w:rPr>
        <w:t xml:space="preserve"> и</w:t>
      </w:r>
      <w:r w:rsidR="008267D4" w:rsidRPr="008267D4">
        <w:rPr>
          <w:lang w:val="sr-Cyrl-CS"/>
        </w:rPr>
        <w:t xml:space="preserve"> очекиваног профита</w:t>
      </w:r>
      <w:r w:rsidR="007B7F78">
        <w:rPr>
          <w:lang w:val="sr-Cyrl-CS"/>
        </w:rPr>
        <w:t>.</w:t>
      </w:r>
    </w:p>
    <w:p w:rsidR="002F5463" w:rsidRDefault="002F5463" w:rsidP="00D6023C">
      <w:pPr>
        <w:ind w:left="0" w:firstLine="0"/>
        <w:rPr>
          <w:lang w:val="sr-Cyrl-CS"/>
        </w:rPr>
      </w:pPr>
    </w:p>
    <w:p w:rsidR="006F4BBE" w:rsidRPr="00823378" w:rsidRDefault="005F09A5" w:rsidP="006F4BBE">
      <w:pPr>
        <w:ind w:left="0" w:firstLine="0"/>
        <w:rPr>
          <w:b/>
          <w:lang w:val="sr-Cyrl-CS"/>
        </w:rPr>
      </w:pPr>
      <w:r w:rsidRPr="00823378">
        <w:rPr>
          <w:b/>
          <w:lang w:val="sr-Cyrl-CS"/>
        </w:rPr>
        <w:t>Пример</w:t>
      </w:r>
      <w:r w:rsidR="00823378">
        <w:rPr>
          <w:b/>
          <w:lang w:val="sr-Cyrl-CS"/>
        </w:rPr>
        <w:t>:</w:t>
      </w:r>
    </w:p>
    <w:p w:rsidR="005F09A5" w:rsidRDefault="005F09A5" w:rsidP="006F4BBE">
      <w:pPr>
        <w:ind w:left="0" w:firstLine="0"/>
        <w:rPr>
          <w:lang w:val="sr-Cyrl-CS"/>
        </w:rPr>
      </w:pPr>
    </w:p>
    <w:p w:rsidR="005F09A5" w:rsidRDefault="005F09A5" w:rsidP="006F4BBE">
      <w:pPr>
        <w:ind w:left="0" w:firstLine="0"/>
        <w:rPr>
          <w:lang w:val="sr-Cyrl-CS"/>
        </w:rPr>
      </w:pPr>
      <w:r>
        <w:rPr>
          <w:lang w:val="sr-Cyrl-CS"/>
        </w:rPr>
        <w:t>Петар Марковић жели да сазна колико новца може да узгуби у току једног дана</w:t>
      </w:r>
      <w:r w:rsidR="002F5463">
        <w:rPr>
          <w:lang w:val="sr-Cyrl-CS"/>
        </w:rPr>
        <w:t xml:space="preserve"> (ВаР)</w:t>
      </w:r>
      <w:r>
        <w:rPr>
          <w:lang w:val="sr-Cyrl-CS"/>
        </w:rPr>
        <w:t xml:space="preserve"> уколико купи акције компаније Х у вредности од 1000 евра. Израчунати једнодневну волатилност </w:t>
      </w:r>
      <w:r w:rsidR="005A6986">
        <w:rPr>
          <w:lang w:val="sr-Cyrl-CS"/>
        </w:rPr>
        <w:t>приноса</w:t>
      </w:r>
      <w:r>
        <w:rPr>
          <w:lang w:val="sr-Cyrl-CS"/>
        </w:rPr>
        <w:t xml:space="preserve"> акција</w:t>
      </w:r>
      <w:r w:rsidR="00823378">
        <w:rPr>
          <w:lang w:val="sr-Cyrl-CS"/>
        </w:rPr>
        <w:t xml:space="preserve"> компаније Х</w:t>
      </w:r>
      <w:r w:rsidR="002F5463">
        <w:rPr>
          <w:lang w:val="sr-Cyrl-CS"/>
        </w:rPr>
        <w:t xml:space="preserve"> применом аналитичког метода, а</w:t>
      </w:r>
      <w:r>
        <w:rPr>
          <w:lang w:val="sr-Cyrl-CS"/>
        </w:rPr>
        <w:t xml:space="preserve"> на основу дневних промена цена које су дате у табели.</w:t>
      </w:r>
    </w:p>
    <w:p w:rsidR="005F09A5" w:rsidRDefault="005F09A5" w:rsidP="006F4BBE">
      <w:pPr>
        <w:ind w:left="0" w:firstLine="0"/>
        <w:rPr>
          <w:lang w:val="sr-Cyrl-CS"/>
        </w:rPr>
      </w:pPr>
    </w:p>
    <w:tbl>
      <w:tblPr>
        <w:tblStyle w:val="TableGrid"/>
        <w:tblW w:w="9440" w:type="dxa"/>
        <w:jc w:val="right"/>
        <w:tblInd w:w="108" w:type="dxa"/>
        <w:tblLook w:val="04A0"/>
      </w:tblPr>
      <w:tblGrid>
        <w:gridCol w:w="742"/>
        <w:gridCol w:w="490"/>
        <w:gridCol w:w="684"/>
        <w:gridCol w:w="684"/>
        <w:gridCol w:w="684"/>
        <w:gridCol w:w="684"/>
        <w:gridCol w:w="684"/>
        <w:gridCol w:w="684"/>
        <w:gridCol w:w="684"/>
        <w:gridCol w:w="684"/>
        <w:gridCol w:w="684"/>
        <w:gridCol w:w="684"/>
        <w:gridCol w:w="684"/>
        <w:gridCol w:w="684"/>
      </w:tblGrid>
      <w:tr w:rsidR="00560862" w:rsidTr="00AB48F1">
        <w:trPr>
          <w:jc w:val="right"/>
        </w:trPr>
        <w:tc>
          <w:tcPr>
            <w:tcW w:w="742" w:type="dxa"/>
          </w:tcPr>
          <w:p w:rsidR="00560862" w:rsidRPr="00823378" w:rsidRDefault="00823378" w:rsidP="00AB48F1">
            <w:pPr>
              <w:ind w:left="0" w:firstLine="0"/>
              <w:jc w:val="left"/>
              <w:rPr>
                <w:b/>
                <w:sz w:val="20"/>
                <w:szCs w:val="20"/>
                <w:lang w:val="sr-Cyrl-CS"/>
              </w:rPr>
            </w:pPr>
            <w:r w:rsidRPr="00823378">
              <w:rPr>
                <w:b/>
                <w:sz w:val="20"/>
                <w:szCs w:val="20"/>
                <w:lang w:val="sr-Cyrl-CS"/>
              </w:rPr>
              <w:lastRenderedPageBreak/>
              <w:t>В</w:t>
            </w:r>
            <w:r w:rsidR="00560862" w:rsidRPr="00823378">
              <w:rPr>
                <w:b/>
                <w:sz w:val="20"/>
                <w:szCs w:val="20"/>
                <w:lang w:val="sr-Cyrl-CS"/>
              </w:rPr>
              <w:t>реме</w:t>
            </w:r>
          </w:p>
        </w:tc>
        <w:tc>
          <w:tcPr>
            <w:tcW w:w="490" w:type="dxa"/>
          </w:tcPr>
          <w:p w:rsidR="00560862" w:rsidRPr="00560862" w:rsidRDefault="00560862" w:rsidP="00AB48F1">
            <w:pPr>
              <w:ind w:left="0" w:firstLine="0"/>
              <w:jc w:val="left"/>
              <w:rPr>
                <w:sz w:val="20"/>
                <w:szCs w:val="20"/>
                <w:lang w:val="sr-Cyrl-CS"/>
              </w:rPr>
            </w:pPr>
            <w:r w:rsidRPr="00560862">
              <w:rPr>
                <w:sz w:val="20"/>
                <w:szCs w:val="20"/>
                <w:lang w:val="sr-Cyrl-CS"/>
              </w:rPr>
              <w:t>8:00</w:t>
            </w:r>
          </w:p>
        </w:tc>
        <w:tc>
          <w:tcPr>
            <w:tcW w:w="684" w:type="dxa"/>
          </w:tcPr>
          <w:p w:rsidR="00560862" w:rsidRPr="00560862" w:rsidRDefault="00560862" w:rsidP="00AB48F1">
            <w:pPr>
              <w:ind w:left="0" w:firstLine="0"/>
              <w:jc w:val="left"/>
              <w:rPr>
                <w:sz w:val="20"/>
                <w:szCs w:val="20"/>
                <w:lang w:val="sr-Cyrl-CS"/>
              </w:rPr>
            </w:pPr>
            <w:r w:rsidRPr="00560862">
              <w:rPr>
                <w:sz w:val="20"/>
                <w:szCs w:val="20"/>
                <w:lang w:val="sr-Cyrl-CS"/>
              </w:rPr>
              <w:t>9:15</w:t>
            </w:r>
          </w:p>
        </w:tc>
        <w:tc>
          <w:tcPr>
            <w:tcW w:w="684" w:type="dxa"/>
          </w:tcPr>
          <w:p w:rsidR="00560862" w:rsidRPr="00560862" w:rsidRDefault="00560862" w:rsidP="00AB48F1">
            <w:pPr>
              <w:ind w:left="0" w:firstLine="0"/>
              <w:jc w:val="left"/>
              <w:rPr>
                <w:sz w:val="20"/>
                <w:szCs w:val="20"/>
                <w:lang w:val="sr-Cyrl-CS"/>
              </w:rPr>
            </w:pPr>
            <w:r w:rsidRPr="00560862">
              <w:rPr>
                <w:sz w:val="20"/>
                <w:szCs w:val="20"/>
                <w:lang w:val="sr-Cyrl-CS"/>
              </w:rPr>
              <w:t>10:23</w:t>
            </w:r>
          </w:p>
        </w:tc>
        <w:tc>
          <w:tcPr>
            <w:tcW w:w="684" w:type="dxa"/>
          </w:tcPr>
          <w:p w:rsidR="00560862" w:rsidRPr="00560862" w:rsidRDefault="00560862" w:rsidP="00AB48F1">
            <w:pPr>
              <w:ind w:left="0" w:firstLine="0"/>
              <w:jc w:val="left"/>
              <w:rPr>
                <w:sz w:val="20"/>
                <w:szCs w:val="20"/>
                <w:lang w:val="sr-Cyrl-CS"/>
              </w:rPr>
            </w:pPr>
            <w:r w:rsidRPr="00560862">
              <w:rPr>
                <w:sz w:val="20"/>
                <w:szCs w:val="20"/>
                <w:lang w:val="sr-Cyrl-CS"/>
              </w:rPr>
              <w:t>10:31</w:t>
            </w:r>
          </w:p>
        </w:tc>
        <w:tc>
          <w:tcPr>
            <w:tcW w:w="684" w:type="dxa"/>
          </w:tcPr>
          <w:p w:rsidR="00560862" w:rsidRPr="00560862" w:rsidRDefault="00560862" w:rsidP="00AB48F1">
            <w:pPr>
              <w:ind w:left="0" w:firstLine="0"/>
              <w:jc w:val="left"/>
              <w:rPr>
                <w:sz w:val="20"/>
                <w:szCs w:val="20"/>
                <w:lang w:val="sr-Cyrl-CS"/>
              </w:rPr>
            </w:pPr>
            <w:r>
              <w:rPr>
                <w:sz w:val="20"/>
                <w:szCs w:val="20"/>
                <w:lang w:val="sr-Cyrl-CS"/>
              </w:rPr>
              <w:t>12:08</w:t>
            </w:r>
          </w:p>
        </w:tc>
        <w:tc>
          <w:tcPr>
            <w:tcW w:w="684" w:type="dxa"/>
          </w:tcPr>
          <w:p w:rsidR="00560862" w:rsidRPr="00560862" w:rsidRDefault="00560862" w:rsidP="00AB48F1">
            <w:pPr>
              <w:ind w:left="0" w:firstLine="0"/>
              <w:jc w:val="left"/>
              <w:rPr>
                <w:sz w:val="20"/>
                <w:szCs w:val="20"/>
                <w:lang w:val="sr-Cyrl-CS"/>
              </w:rPr>
            </w:pPr>
            <w:r>
              <w:rPr>
                <w:sz w:val="20"/>
                <w:szCs w:val="20"/>
                <w:lang w:val="sr-Cyrl-CS"/>
              </w:rPr>
              <w:t>14:55</w:t>
            </w:r>
          </w:p>
        </w:tc>
        <w:tc>
          <w:tcPr>
            <w:tcW w:w="684" w:type="dxa"/>
          </w:tcPr>
          <w:p w:rsidR="00560862" w:rsidRPr="00560862" w:rsidRDefault="00823378" w:rsidP="00AB48F1">
            <w:pPr>
              <w:ind w:left="0" w:firstLine="0"/>
              <w:jc w:val="left"/>
              <w:rPr>
                <w:sz w:val="20"/>
                <w:szCs w:val="20"/>
                <w:lang w:val="sr-Cyrl-CS"/>
              </w:rPr>
            </w:pPr>
            <w:r>
              <w:rPr>
                <w:sz w:val="20"/>
                <w:szCs w:val="20"/>
                <w:lang w:val="sr-Cyrl-CS"/>
              </w:rPr>
              <w:t>15:32</w:t>
            </w:r>
          </w:p>
        </w:tc>
        <w:tc>
          <w:tcPr>
            <w:tcW w:w="684" w:type="dxa"/>
          </w:tcPr>
          <w:p w:rsidR="00560862" w:rsidRPr="00560862" w:rsidRDefault="00823378" w:rsidP="00AB48F1">
            <w:pPr>
              <w:ind w:left="0" w:firstLine="0"/>
              <w:jc w:val="left"/>
              <w:rPr>
                <w:sz w:val="20"/>
                <w:szCs w:val="20"/>
                <w:lang w:val="sr-Cyrl-CS"/>
              </w:rPr>
            </w:pPr>
            <w:r>
              <w:rPr>
                <w:sz w:val="20"/>
                <w:szCs w:val="20"/>
                <w:lang w:val="sr-Cyrl-CS"/>
              </w:rPr>
              <w:t>16:01</w:t>
            </w:r>
          </w:p>
        </w:tc>
        <w:tc>
          <w:tcPr>
            <w:tcW w:w="684" w:type="dxa"/>
          </w:tcPr>
          <w:p w:rsidR="00560862" w:rsidRPr="00560862" w:rsidRDefault="00823378" w:rsidP="00AB48F1">
            <w:pPr>
              <w:ind w:left="0" w:firstLine="0"/>
              <w:jc w:val="left"/>
              <w:rPr>
                <w:sz w:val="20"/>
                <w:szCs w:val="20"/>
                <w:lang w:val="sr-Cyrl-CS"/>
              </w:rPr>
            </w:pPr>
            <w:r>
              <w:rPr>
                <w:sz w:val="20"/>
                <w:szCs w:val="20"/>
                <w:lang w:val="sr-Cyrl-CS"/>
              </w:rPr>
              <w:t>18:12</w:t>
            </w:r>
          </w:p>
        </w:tc>
        <w:tc>
          <w:tcPr>
            <w:tcW w:w="684" w:type="dxa"/>
          </w:tcPr>
          <w:p w:rsidR="00560862" w:rsidRPr="00560862" w:rsidRDefault="00823378" w:rsidP="00AB48F1">
            <w:pPr>
              <w:ind w:left="0" w:firstLine="0"/>
              <w:jc w:val="left"/>
              <w:rPr>
                <w:sz w:val="20"/>
                <w:szCs w:val="20"/>
                <w:lang w:val="sr-Cyrl-CS"/>
              </w:rPr>
            </w:pPr>
            <w:r>
              <w:rPr>
                <w:sz w:val="20"/>
                <w:szCs w:val="20"/>
                <w:lang w:val="sr-Cyrl-CS"/>
              </w:rPr>
              <w:t>18:45</w:t>
            </w:r>
          </w:p>
        </w:tc>
        <w:tc>
          <w:tcPr>
            <w:tcW w:w="684" w:type="dxa"/>
          </w:tcPr>
          <w:p w:rsidR="00560862" w:rsidRPr="00560862" w:rsidRDefault="00823378" w:rsidP="00AB48F1">
            <w:pPr>
              <w:ind w:left="0" w:firstLine="0"/>
              <w:jc w:val="left"/>
              <w:rPr>
                <w:sz w:val="20"/>
                <w:szCs w:val="20"/>
                <w:lang w:val="sr-Cyrl-CS"/>
              </w:rPr>
            </w:pPr>
            <w:r>
              <w:rPr>
                <w:sz w:val="20"/>
                <w:szCs w:val="20"/>
                <w:lang w:val="sr-Cyrl-CS"/>
              </w:rPr>
              <w:t>19:05</w:t>
            </w:r>
          </w:p>
        </w:tc>
        <w:tc>
          <w:tcPr>
            <w:tcW w:w="684" w:type="dxa"/>
          </w:tcPr>
          <w:p w:rsidR="00560862" w:rsidRPr="00560862" w:rsidRDefault="00823378" w:rsidP="00AB48F1">
            <w:pPr>
              <w:ind w:left="0" w:firstLine="0"/>
              <w:jc w:val="left"/>
              <w:rPr>
                <w:sz w:val="20"/>
                <w:szCs w:val="20"/>
                <w:lang w:val="sr-Cyrl-CS"/>
              </w:rPr>
            </w:pPr>
            <w:r>
              <w:rPr>
                <w:sz w:val="20"/>
                <w:szCs w:val="20"/>
                <w:lang w:val="sr-Cyrl-CS"/>
              </w:rPr>
              <w:t>19:15</w:t>
            </w:r>
          </w:p>
        </w:tc>
        <w:tc>
          <w:tcPr>
            <w:tcW w:w="684" w:type="dxa"/>
          </w:tcPr>
          <w:p w:rsidR="00560862" w:rsidRPr="00560862" w:rsidRDefault="00823378" w:rsidP="00AB48F1">
            <w:pPr>
              <w:ind w:left="0" w:firstLine="0"/>
              <w:jc w:val="left"/>
              <w:rPr>
                <w:sz w:val="20"/>
                <w:szCs w:val="20"/>
                <w:lang w:val="sr-Cyrl-CS"/>
              </w:rPr>
            </w:pPr>
            <w:r>
              <w:rPr>
                <w:sz w:val="20"/>
                <w:szCs w:val="20"/>
                <w:lang w:val="sr-Cyrl-CS"/>
              </w:rPr>
              <w:t>20:48</w:t>
            </w:r>
          </w:p>
        </w:tc>
      </w:tr>
      <w:tr w:rsidR="00560862" w:rsidTr="00AB48F1">
        <w:trPr>
          <w:jc w:val="right"/>
        </w:trPr>
        <w:tc>
          <w:tcPr>
            <w:tcW w:w="742" w:type="dxa"/>
          </w:tcPr>
          <w:p w:rsidR="00560862" w:rsidRPr="00823378" w:rsidRDefault="00823378" w:rsidP="00AB48F1">
            <w:pPr>
              <w:ind w:left="0" w:firstLine="0"/>
              <w:jc w:val="left"/>
              <w:rPr>
                <w:b/>
                <w:sz w:val="20"/>
                <w:szCs w:val="20"/>
                <w:lang w:val="sr-Cyrl-CS"/>
              </w:rPr>
            </w:pPr>
            <w:r w:rsidRPr="00823378">
              <w:rPr>
                <w:b/>
                <w:sz w:val="20"/>
                <w:szCs w:val="20"/>
                <w:lang w:val="sr-Cyrl-CS"/>
              </w:rPr>
              <w:t>Ц</w:t>
            </w:r>
            <w:r w:rsidR="00560862" w:rsidRPr="00823378">
              <w:rPr>
                <w:b/>
                <w:sz w:val="20"/>
                <w:szCs w:val="20"/>
                <w:lang w:val="sr-Cyrl-CS"/>
              </w:rPr>
              <w:t>ена</w:t>
            </w:r>
          </w:p>
        </w:tc>
        <w:tc>
          <w:tcPr>
            <w:tcW w:w="490" w:type="dxa"/>
          </w:tcPr>
          <w:p w:rsidR="00560862" w:rsidRPr="00560862" w:rsidRDefault="00823378" w:rsidP="00AB48F1">
            <w:pPr>
              <w:ind w:left="0" w:firstLine="0"/>
              <w:jc w:val="left"/>
              <w:rPr>
                <w:sz w:val="20"/>
                <w:szCs w:val="20"/>
                <w:lang w:val="sr-Cyrl-CS"/>
              </w:rPr>
            </w:pPr>
            <w:r>
              <w:rPr>
                <w:sz w:val="20"/>
                <w:szCs w:val="20"/>
                <w:lang w:val="sr-Cyrl-CS"/>
              </w:rPr>
              <w:t>35</w:t>
            </w:r>
          </w:p>
        </w:tc>
        <w:tc>
          <w:tcPr>
            <w:tcW w:w="684" w:type="dxa"/>
          </w:tcPr>
          <w:p w:rsidR="00560862" w:rsidRPr="00560862" w:rsidRDefault="00823378" w:rsidP="00AB48F1">
            <w:pPr>
              <w:ind w:left="0" w:firstLine="0"/>
              <w:jc w:val="left"/>
              <w:rPr>
                <w:sz w:val="20"/>
                <w:szCs w:val="20"/>
                <w:lang w:val="sr-Cyrl-CS"/>
              </w:rPr>
            </w:pPr>
            <w:r>
              <w:rPr>
                <w:sz w:val="20"/>
                <w:szCs w:val="20"/>
                <w:lang w:val="sr-Cyrl-CS"/>
              </w:rPr>
              <w:t>38</w:t>
            </w:r>
          </w:p>
        </w:tc>
        <w:tc>
          <w:tcPr>
            <w:tcW w:w="684" w:type="dxa"/>
          </w:tcPr>
          <w:p w:rsidR="00560862" w:rsidRPr="00560862" w:rsidRDefault="00823378" w:rsidP="00AB48F1">
            <w:pPr>
              <w:ind w:left="0" w:firstLine="0"/>
              <w:jc w:val="left"/>
              <w:rPr>
                <w:sz w:val="20"/>
                <w:szCs w:val="20"/>
                <w:lang w:val="sr-Cyrl-CS"/>
              </w:rPr>
            </w:pPr>
            <w:r>
              <w:rPr>
                <w:sz w:val="20"/>
                <w:szCs w:val="20"/>
                <w:lang w:val="sr-Cyrl-CS"/>
              </w:rPr>
              <w:t>33</w:t>
            </w:r>
          </w:p>
        </w:tc>
        <w:tc>
          <w:tcPr>
            <w:tcW w:w="684" w:type="dxa"/>
          </w:tcPr>
          <w:p w:rsidR="00560862" w:rsidRPr="00560862" w:rsidRDefault="00823378" w:rsidP="00AB48F1">
            <w:pPr>
              <w:ind w:left="0" w:firstLine="0"/>
              <w:jc w:val="left"/>
              <w:rPr>
                <w:sz w:val="20"/>
                <w:szCs w:val="20"/>
                <w:lang w:val="sr-Cyrl-CS"/>
              </w:rPr>
            </w:pPr>
            <w:r>
              <w:rPr>
                <w:sz w:val="20"/>
                <w:szCs w:val="20"/>
                <w:lang w:val="sr-Cyrl-CS"/>
              </w:rPr>
              <w:t>31</w:t>
            </w:r>
          </w:p>
        </w:tc>
        <w:tc>
          <w:tcPr>
            <w:tcW w:w="684" w:type="dxa"/>
          </w:tcPr>
          <w:p w:rsidR="00560862" w:rsidRPr="00560862" w:rsidRDefault="00823378" w:rsidP="00AB48F1">
            <w:pPr>
              <w:ind w:left="0" w:firstLine="0"/>
              <w:jc w:val="left"/>
              <w:rPr>
                <w:sz w:val="20"/>
                <w:szCs w:val="20"/>
                <w:lang w:val="sr-Cyrl-CS"/>
              </w:rPr>
            </w:pPr>
            <w:r>
              <w:rPr>
                <w:sz w:val="20"/>
                <w:szCs w:val="20"/>
                <w:lang w:val="sr-Cyrl-CS"/>
              </w:rPr>
              <w:t>30</w:t>
            </w:r>
          </w:p>
        </w:tc>
        <w:tc>
          <w:tcPr>
            <w:tcW w:w="684" w:type="dxa"/>
          </w:tcPr>
          <w:p w:rsidR="00560862" w:rsidRPr="00560862" w:rsidRDefault="00823378" w:rsidP="00AB48F1">
            <w:pPr>
              <w:ind w:left="0" w:firstLine="0"/>
              <w:jc w:val="left"/>
              <w:rPr>
                <w:sz w:val="20"/>
                <w:szCs w:val="20"/>
                <w:lang w:val="sr-Cyrl-CS"/>
              </w:rPr>
            </w:pPr>
            <w:r>
              <w:rPr>
                <w:sz w:val="20"/>
                <w:szCs w:val="20"/>
                <w:lang w:val="sr-Cyrl-CS"/>
              </w:rPr>
              <w:t>27</w:t>
            </w:r>
          </w:p>
        </w:tc>
        <w:tc>
          <w:tcPr>
            <w:tcW w:w="684" w:type="dxa"/>
          </w:tcPr>
          <w:p w:rsidR="00560862" w:rsidRPr="00560862" w:rsidRDefault="00823378" w:rsidP="00AB48F1">
            <w:pPr>
              <w:ind w:left="0" w:firstLine="0"/>
              <w:jc w:val="left"/>
              <w:rPr>
                <w:sz w:val="20"/>
                <w:szCs w:val="20"/>
                <w:lang w:val="sr-Cyrl-CS"/>
              </w:rPr>
            </w:pPr>
            <w:r>
              <w:rPr>
                <w:sz w:val="20"/>
                <w:szCs w:val="20"/>
                <w:lang w:val="sr-Cyrl-CS"/>
              </w:rPr>
              <w:t>27.9</w:t>
            </w:r>
          </w:p>
        </w:tc>
        <w:tc>
          <w:tcPr>
            <w:tcW w:w="684" w:type="dxa"/>
          </w:tcPr>
          <w:p w:rsidR="00560862" w:rsidRPr="00560862" w:rsidRDefault="00823378" w:rsidP="00AB48F1">
            <w:pPr>
              <w:ind w:left="0" w:firstLine="0"/>
              <w:jc w:val="left"/>
              <w:rPr>
                <w:sz w:val="20"/>
                <w:szCs w:val="20"/>
                <w:lang w:val="sr-Cyrl-CS"/>
              </w:rPr>
            </w:pPr>
            <w:r>
              <w:rPr>
                <w:sz w:val="20"/>
                <w:szCs w:val="20"/>
                <w:lang w:val="sr-Cyrl-CS"/>
              </w:rPr>
              <w:t>36.1</w:t>
            </w:r>
          </w:p>
        </w:tc>
        <w:tc>
          <w:tcPr>
            <w:tcW w:w="684" w:type="dxa"/>
          </w:tcPr>
          <w:p w:rsidR="00560862" w:rsidRPr="00560862" w:rsidRDefault="00823378" w:rsidP="00AB48F1">
            <w:pPr>
              <w:ind w:left="0" w:firstLine="0"/>
              <w:jc w:val="left"/>
              <w:rPr>
                <w:sz w:val="20"/>
                <w:szCs w:val="20"/>
                <w:lang w:val="sr-Cyrl-CS"/>
              </w:rPr>
            </w:pPr>
            <w:r>
              <w:rPr>
                <w:sz w:val="20"/>
                <w:szCs w:val="20"/>
                <w:lang w:val="sr-Cyrl-CS"/>
              </w:rPr>
              <w:t>34.6</w:t>
            </w:r>
          </w:p>
        </w:tc>
        <w:tc>
          <w:tcPr>
            <w:tcW w:w="684" w:type="dxa"/>
          </w:tcPr>
          <w:p w:rsidR="00560862" w:rsidRPr="00560862" w:rsidRDefault="00823378" w:rsidP="00AB48F1">
            <w:pPr>
              <w:ind w:left="0" w:firstLine="0"/>
              <w:jc w:val="left"/>
              <w:rPr>
                <w:sz w:val="20"/>
                <w:szCs w:val="20"/>
                <w:lang w:val="sr-Cyrl-CS"/>
              </w:rPr>
            </w:pPr>
            <w:r>
              <w:rPr>
                <w:sz w:val="20"/>
                <w:szCs w:val="20"/>
                <w:lang w:val="sr-Cyrl-CS"/>
              </w:rPr>
              <w:t>38</w:t>
            </w:r>
          </w:p>
        </w:tc>
        <w:tc>
          <w:tcPr>
            <w:tcW w:w="684" w:type="dxa"/>
          </w:tcPr>
          <w:p w:rsidR="00560862" w:rsidRPr="00560862" w:rsidRDefault="00823378" w:rsidP="00AB48F1">
            <w:pPr>
              <w:ind w:left="0" w:firstLine="0"/>
              <w:jc w:val="left"/>
              <w:rPr>
                <w:sz w:val="20"/>
                <w:szCs w:val="20"/>
                <w:lang w:val="sr-Cyrl-CS"/>
              </w:rPr>
            </w:pPr>
            <w:r>
              <w:rPr>
                <w:sz w:val="20"/>
                <w:szCs w:val="20"/>
                <w:lang w:val="sr-Cyrl-CS"/>
              </w:rPr>
              <w:t>33</w:t>
            </w:r>
          </w:p>
        </w:tc>
        <w:tc>
          <w:tcPr>
            <w:tcW w:w="684" w:type="dxa"/>
          </w:tcPr>
          <w:p w:rsidR="00560862" w:rsidRPr="00560862" w:rsidRDefault="00823378" w:rsidP="00AB48F1">
            <w:pPr>
              <w:ind w:left="0" w:firstLine="0"/>
              <w:jc w:val="left"/>
              <w:rPr>
                <w:sz w:val="20"/>
                <w:szCs w:val="20"/>
                <w:lang w:val="sr-Cyrl-CS"/>
              </w:rPr>
            </w:pPr>
            <w:r>
              <w:rPr>
                <w:sz w:val="20"/>
                <w:szCs w:val="20"/>
                <w:lang w:val="sr-Cyrl-CS"/>
              </w:rPr>
              <w:t>30.6</w:t>
            </w:r>
          </w:p>
        </w:tc>
        <w:tc>
          <w:tcPr>
            <w:tcW w:w="684" w:type="dxa"/>
          </w:tcPr>
          <w:p w:rsidR="00560862" w:rsidRPr="00560862" w:rsidRDefault="00823378" w:rsidP="00AB48F1">
            <w:pPr>
              <w:ind w:left="0" w:firstLine="0"/>
              <w:jc w:val="left"/>
              <w:rPr>
                <w:sz w:val="20"/>
                <w:szCs w:val="20"/>
                <w:lang w:val="sr-Cyrl-CS"/>
              </w:rPr>
            </w:pPr>
            <w:r>
              <w:rPr>
                <w:sz w:val="20"/>
                <w:szCs w:val="20"/>
                <w:lang w:val="sr-Cyrl-CS"/>
              </w:rPr>
              <w:t>32</w:t>
            </w:r>
          </w:p>
        </w:tc>
      </w:tr>
    </w:tbl>
    <w:p w:rsidR="005F09A5" w:rsidRDefault="005F09A5" w:rsidP="00823378">
      <w:pPr>
        <w:ind w:left="0" w:right="-23" w:firstLine="0"/>
        <w:jc w:val="left"/>
        <w:rPr>
          <w:lang w:val="sr-Cyrl-CS"/>
        </w:rPr>
      </w:pPr>
    </w:p>
    <w:p w:rsidR="00823378" w:rsidRDefault="00823378" w:rsidP="00823378">
      <w:pPr>
        <w:ind w:left="0" w:right="-23" w:firstLine="0"/>
        <w:jc w:val="left"/>
        <w:rPr>
          <w:lang w:val="sr-Cyrl-CS"/>
        </w:rPr>
      </w:pPr>
      <w:r>
        <w:rPr>
          <w:lang w:val="sr-Cyrl-CS"/>
        </w:rPr>
        <w:t>Прорачун вршити на бази нивоа поверења од 95% и 99%.</w:t>
      </w:r>
    </w:p>
    <w:p w:rsidR="00F43A1A" w:rsidRDefault="00F43A1A" w:rsidP="00823378">
      <w:pPr>
        <w:ind w:left="0" w:right="-23" w:firstLine="0"/>
        <w:jc w:val="left"/>
        <w:rPr>
          <w:lang w:val="sr-Cyrl-CS"/>
        </w:rPr>
      </w:pPr>
    </w:p>
    <w:p w:rsidR="00755FFC" w:rsidRDefault="00755FFC" w:rsidP="00823378">
      <w:pPr>
        <w:ind w:left="0" w:right="-23" w:firstLine="0"/>
        <w:jc w:val="left"/>
        <w:rPr>
          <w:lang w:val="sr-Cyrl-CS"/>
        </w:rPr>
      </w:pPr>
      <w:r>
        <w:rPr>
          <w:lang w:val="sr-Cyrl-CS"/>
        </w:rPr>
        <w:t xml:space="preserve">Решење: </w:t>
      </w:r>
    </w:p>
    <w:p w:rsidR="00755FFC" w:rsidRPr="006F4BBE" w:rsidRDefault="00755FFC" w:rsidP="00823378">
      <w:pPr>
        <w:ind w:left="0" w:right="-23" w:firstLine="0"/>
        <w:jc w:val="left"/>
        <w:rPr>
          <w:lang w:val="sr-Cyrl-CS"/>
        </w:rPr>
      </w:pPr>
    </w:p>
    <w:p w:rsidR="0089388C" w:rsidRDefault="00D3608D" w:rsidP="00B71721">
      <w:pPr>
        <w:ind w:left="0" w:right="4" w:hanging="5"/>
        <w:jc w:val="center"/>
        <w:rPr>
          <w:lang w:val="sr-Latn-CS"/>
        </w:rPr>
      </w:pPr>
      <w:r>
        <w:rPr>
          <w:noProof/>
        </w:rPr>
        <w:drawing>
          <wp:inline distT="0" distB="0" distL="0" distR="0">
            <wp:extent cx="5939790" cy="3164840"/>
            <wp:effectExtent l="19050" t="0" r="381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lum bright="20000" contrast="40000"/>
                    </a:blip>
                    <a:srcRect/>
                    <a:stretch>
                      <a:fillRect/>
                    </a:stretch>
                  </pic:blipFill>
                  <pic:spPr bwMode="auto">
                    <a:xfrm>
                      <a:off x="0" y="0"/>
                      <a:ext cx="5939790" cy="3164840"/>
                    </a:xfrm>
                    <a:prstGeom prst="rect">
                      <a:avLst/>
                    </a:prstGeom>
                    <a:noFill/>
                    <a:ln w="9525">
                      <a:noFill/>
                      <a:miter lim="800000"/>
                      <a:headEnd/>
                      <a:tailEnd/>
                    </a:ln>
                  </pic:spPr>
                </pic:pic>
              </a:graphicData>
            </a:graphic>
          </wp:inline>
        </w:drawing>
      </w:r>
    </w:p>
    <w:p w:rsidR="003B4B32" w:rsidRPr="00595C20" w:rsidRDefault="003B4B32" w:rsidP="003B4B32">
      <w:pPr>
        <w:ind w:left="0" w:right="4" w:hanging="5"/>
        <w:jc w:val="center"/>
        <w:rPr>
          <w:sz w:val="22"/>
          <w:szCs w:val="22"/>
          <w:lang w:val="sr-Cyrl-CS"/>
        </w:rPr>
      </w:pPr>
      <w:r>
        <w:rPr>
          <w:i/>
          <w:sz w:val="22"/>
          <w:szCs w:val="22"/>
          <w:lang w:val="sr-Cyrl-CS"/>
        </w:rPr>
        <w:t>Слика 2</w:t>
      </w:r>
      <w:r w:rsidRPr="00595C20">
        <w:rPr>
          <w:i/>
          <w:sz w:val="22"/>
          <w:szCs w:val="22"/>
          <w:lang w:val="sr-Cyrl-CS"/>
        </w:rPr>
        <w:t>.</w:t>
      </w:r>
      <w:r w:rsidRPr="00595C20">
        <w:rPr>
          <w:sz w:val="22"/>
          <w:szCs w:val="22"/>
          <w:lang w:val="sr-Cyrl-CS"/>
        </w:rPr>
        <w:t xml:space="preserve"> Пример израчунавања </w:t>
      </w:r>
      <w:r>
        <w:rPr>
          <w:sz w:val="22"/>
          <w:szCs w:val="22"/>
          <w:lang w:val="sr-Cyrl-CS"/>
        </w:rPr>
        <w:t>ВаР-а аналитичком методом</w:t>
      </w:r>
    </w:p>
    <w:p w:rsidR="003B4B32" w:rsidRPr="00C24470" w:rsidRDefault="003B4B32" w:rsidP="003B4B32">
      <w:pPr>
        <w:pStyle w:val="ListParagraph"/>
        <w:ind w:left="0" w:right="4" w:firstLine="0"/>
        <w:jc w:val="center"/>
        <w:rPr>
          <w:sz w:val="20"/>
          <w:szCs w:val="20"/>
          <w:lang w:val="sr-Cyrl-CS"/>
        </w:rPr>
      </w:pPr>
      <w:r w:rsidRPr="00C24470">
        <w:rPr>
          <w:sz w:val="20"/>
          <w:szCs w:val="20"/>
          <w:lang w:val="sr-Cyrl-CS"/>
        </w:rPr>
        <w:t xml:space="preserve">Извор: </w:t>
      </w:r>
      <w:r>
        <w:rPr>
          <w:sz w:val="20"/>
          <w:szCs w:val="20"/>
          <w:lang w:val="sr-Cyrl-CS"/>
        </w:rPr>
        <w:t>аутор</w:t>
      </w:r>
    </w:p>
    <w:p w:rsidR="0089388C" w:rsidRPr="003B4B32" w:rsidRDefault="0089388C" w:rsidP="003B4B32">
      <w:pPr>
        <w:ind w:left="0" w:firstLine="0"/>
        <w:rPr>
          <w:lang w:val="sr-Cyrl-CS"/>
        </w:rPr>
      </w:pPr>
    </w:p>
    <w:p w:rsidR="0089388C" w:rsidRDefault="00B71721" w:rsidP="00B71721">
      <w:pPr>
        <w:ind w:left="0" w:hanging="5"/>
        <w:rPr>
          <w:b/>
          <w:lang w:val="sr-Cyrl-CS"/>
        </w:rPr>
      </w:pPr>
      <w:r w:rsidRPr="00B71721">
        <w:rPr>
          <w:b/>
          <w:lang w:val="sr-Cyrl-CS"/>
        </w:rPr>
        <w:t xml:space="preserve">Рачунање ВАР-а </w:t>
      </w:r>
      <w:r w:rsidR="00F43A1A">
        <w:rPr>
          <w:b/>
          <w:lang w:val="sr-Cyrl-CS"/>
        </w:rPr>
        <w:t>портфолиа</w:t>
      </w:r>
    </w:p>
    <w:p w:rsidR="00B71721" w:rsidRDefault="00B71721" w:rsidP="00B71721">
      <w:pPr>
        <w:ind w:left="0" w:hanging="5"/>
        <w:rPr>
          <w:b/>
          <w:lang w:val="sr-Cyrl-CS"/>
        </w:rPr>
      </w:pPr>
    </w:p>
    <w:p w:rsidR="00B71721" w:rsidRDefault="00B71721" w:rsidP="00B71721">
      <w:pPr>
        <w:ind w:left="0" w:right="-23" w:hanging="5"/>
        <w:rPr>
          <w:lang w:val="sr-Cyrl-CS"/>
        </w:rPr>
      </w:pPr>
      <w:r>
        <w:rPr>
          <w:lang w:val="sr-Cyrl-CS"/>
        </w:rPr>
        <w:t>Улагањем у више различитих средстава (диверзификацијом) се утиче на смањење ризика портфолиа. Међусобна повезаност приноса средстава у портфолиу представља корелацију, која се мери израчунавањем коефицијената корелације. Што су коефицијенти коралације мањи, ефекат диверзификације је већи, и обрнуто. У случају да у портфолиу имамо две хартије</w:t>
      </w:r>
      <w:r w:rsidR="00000A4D">
        <w:rPr>
          <w:lang w:val="sr-Cyrl-CS"/>
        </w:rPr>
        <w:t xml:space="preserve"> А и Б</w:t>
      </w:r>
      <w:r>
        <w:rPr>
          <w:lang w:val="sr-Cyrl-CS"/>
        </w:rPr>
        <w:t>, волатилност (стандардна девијација) се рачуна применом следеће формуле:</w:t>
      </w:r>
    </w:p>
    <w:p w:rsidR="00B71721" w:rsidRDefault="00B71721" w:rsidP="00B71721">
      <w:pPr>
        <w:ind w:left="0" w:right="-23" w:hanging="5"/>
        <w:rPr>
          <w:lang w:val="sr-Cyrl-CS"/>
        </w:rPr>
      </w:pPr>
    </w:p>
    <w:p w:rsidR="00B71721" w:rsidRPr="00B71721" w:rsidRDefault="00B71721" w:rsidP="00B71721">
      <w:pPr>
        <w:ind w:left="0" w:right="-23" w:hanging="5"/>
        <w:jc w:val="center"/>
        <w:rPr>
          <w:lang w:val="sr-Cyrl-CS"/>
        </w:rPr>
      </w:pPr>
      <m:oMath>
        <m:r>
          <w:rPr>
            <w:rFonts w:ascii="Cambria Math" w:hAnsi="Cambria Math"/>
            <w:lang w:val="sr-Cyrl-CS"/>
          </w:rPr>
          <m:t>δ=</m:t>
        </m:r>
        <m:rad>
          <m:radPr>
            <m:degHide m:val="on"/>
            <m:ctrlPr>
              <w:rPr>
                <w:rFonts w:ascii="Cambria Math" w:eastAsiaTheme="minorEastAsia" w:hAnsi="Cambria Math"/>
                <w:i/>
                <w:lang w:val="sr-Cyrl-CS"/>
              </w:rPr>
            </m:ctrlPr>
          </m:radPr>
          <m:deg/>
          <m:e>
            <m:sSup>
              <m:sSupPr>
                <m:ctrlPr>
                  <w:rPr>
                    <w:rFonts w:ascii="Cambria Math" w:eastAsiaTheme="minorEastAsia" w:hAnsi="Cambria Math"/>
                    <w:i/>
                    <w:lang w:val="sr-Cyrl-CS"/>
                  </w:rPr>
                </m:ctrlPr>
              </m:sSupPr>
              <m:e>
                <m:r>
                  <w:rPr>
                    <w:rFonts w:ascii="Cambria Math" w:eastAsiaTheme="minorEastAsia" w:hAnsi="Cambria Math"/>
                    <w:lang w:val="sr-Cyrl-CS"/>
                  </w:rPr>
                  <m:t>α</m:t>
                </m:r>
              </m:e>
              <m:sup>
                <m:r>
                  <w:rPr>
                    <w:rFonts w:ascii="Cambria Math" w:eastAsiaTheme="minorEastAsia" w:hAnsi="Cambria Math"/>
                    <w:lang w:val="sr-Cyrl-CS"/>
                  </w:rPr>
                  <m:t>2</m:t>
                </m:r>
              </m:sup>
            </m:sSup>
            <m:sSubSup>
              <m:sSubSupPr>
                <m:ctrlPr>
                  <w:rPr>
                    <w:rFonts w:ascii="Cambria Math" w:eastAsiaTheme="minorEastAsia" w:hAnsi="Cambria Math"/>
                    <w:i/>
                    <w:lang w:val="sr-Cyrl-CS"/>
                  </w:rPr>
                </m:ctrlPr>
              </m:sSubSupPr>
              <m:e>
                <m:r>
                  <w:rPr>
                    <w:rFonts w:ascii="Cambria Math" w:eastAsiaTheme="minorEastAsia" w:hAnsi="Cambria Math"/>
                    <w:lang w:val="sr-Cyrl-CS"/>
                  </w:rPr>
                  <m:t>δ</m:t>
                </m:r>
              </m:e>
              <m:sub>
                <m:r>
                  <w:rPr>
                    <w:rFonts w:ascii="Cambria Math" w:eastAsiaTheme="minorEastAsia" w:hAnsi="Cambria Math"/>
                    <w:lang w:val="sr-Cyrl-CS"/>
                  </w:rPr>
                  <m:t>α</m:t>
                </m:r>
              </m:sub>
              <m:sup>
                <m:r>
                  <w:rPr>
                    <w:rFonts w:ascii="Cambria Math" w:eastAsiaTheme="minorEastAsia" w:hAnsi="Cambria Math"/>
                    <w:lang w:val="sr-Cyrl-CS"/>
                  </w:rPr>
                  <m:t>2</m:t>
                </m:r>
              </m:sup>
            </m:sSubSup>
            <m:r>
              <w:rPr>
                <w:rFonts w:ascii="Cambria Math" w:eastAsiaTheme="minorEastAsia" w:hAnsi="Cambria Math"/>
                <w:lang w:val="sr-Cyrl-CS"/>
              </w:rPr>
              <m:t>+</m:t>
            </m:r>
            <m:sSup>
              <m:sSupPr>
                <m:ctrlPr>
                  <w:rPr>
                    <w:rFonts w:ascii="Cambria Math" w:eastAsiaTheme="minorEastAsia" w:hAnsi="Cambria Math"/>
                    <w:i/>
                    <w:lang w:val="sr-Cyrl-CS"/>
                  </w:rPr>
                </m:ctrlPr>
              </m:sSupPr>
              <m:e>
                <m:r>
                  <w:rPr>
                    <w:rFonts w:ascii="Cambria Math" w:eastAsiaTheme="minorEastAsia" w:hAnsi="Cambria Math"/>
                    <w:lang w:val="sr-Cyrl-CS"/>
                  </w:rPr>
                  <m:t>β</m:t>
                </m:r>
              </m:e>
              <m:sup>
                <m:r>
                  <w:rPr>
                    <w:rFonts w:ascii="Cambria Math" w:eastAsiaTheme="minorEastAsia" w:hAnsi="Cambria Math"/>
                    <w:lang w:val="sr-Cyrl-CS"/>
                  </w:rPr>
                  <m:t>2</m:t>
                </m:r>
              </m:sup>
            </m:sSup>
            <m:sSubSup>
              <m:sSubSupPr>
                <m:ctrlPr>
                  <w:rPr>
                    <w:rFonts w:ascii="Cambria Math" w:eastAsiaTheme="minorEastAsia" w:hAnsi="Cambria Math"/>
                    <w:i/>
                    <w:lang w:val="sr-Cyrl-CS"/>
                  </w:rPr>
                </m:ctrlPr>
              </m:sSubSupPr>
              <m:e>
                <m:r>
                  <w:rPr>
                    <w:rFonts w:ascii="Cambria Math" w:eastAsiaTheme="minorEastAsia" w:hAnsi="Cambria Math"/>
                    <w:lang w:val="sr-Cyrl-CS"/>
                  </w:rPr>
                  <m:t>δ</m:t>
                </m:r>
              </m:e>
              <m:sub>
                <m:r>
                  <w:rPr>
                    <w:rFonts w:ascii="Cambria Math" w:eastAsiaTheme="minorEastAsia" w:hAnsi="Cambria Math"/>
                    <w:lang w:val="sr-Cyrl-CS"/>
                  </w:rPr>
                  <m:t>β</m:t>
                </m:r>
              </m:sub>
              <m:sup>
                <m:r>
                  <w:rPr>
                    <w:rFonts w:ascii="Cambria Math" w:eastAsiaTheme="minorEastAsia" w:hAnsi="Cambria Math"/>
                    <w:lang w:val="sr-Cyrl-CS"/>
                  </w:rPr>
                  <m:t>2</m:t>
                </m:r>
              </m:sup>
            </m:sSubSup>
            <m:r>
              <w:rPr>
                <w:rFonts w:ascii="Cambria Math" w:eastAsiaTheme="minorEastAsia" w:hAnsi="Cambria Math"/>
                <w:lang w:val="sr-Cyrl-CS"/>
              </w:rPr>
              <m:t>+2αβ</m:t>
            </m:r>
            <m:sSub>
              <m:sSubPr>
                <m:ctrlPr>
                  <w:rPr>
                    <w:rFonts w:ascii="Cambria Math" w:eastAsiaTheme="minorEastAsia" w:hAnsi="Cambria Math"/>
                    <w:i/>
                    <w:lang w:val="sr-Cyrl-CS"/>
                  </w:rPr>
                </m:ctrlPr>
              </m:sSubPr>
              <m:e>
                <m:r>
                  <w:rPr>
                    <w:rFonts w:ascii="Cambria Math" w:eastAsiaTheme="minorEastAsia" w:hAnsi="Cambria Math"/>
                    <w:lang w:val="sr-Cyrl-CS"/>
                  </w:rPr>
                  <m:t>δ</m:t>
                </m:r>
              </m:e>
              <m:sub>
                <m:r>
                  <w:rPr>
                    <w:rFonts w:ascii="Cambria Math" w:eastAsiaTheme="minorEastAsia" w:hAnsi="Cambria Math"/>
                    <w:lang w:val="sr-Cyrl-CS"/>
                  </w:rPr>
                  <m:t>α</m:t>
                </m:r>
              </m:sub>
            </m:sSub>
            <m:sSub>
              <m:sSubPr>
                <m:ctrlPr>
                  <w:rPr>
                    <w:rFonts w:ascii="Cambria Math" w:eastAsiaTheme="minorEastAsia" w:hAnsi="Cambria Math"/>
                    <w:i/>
                    <w:lang w:val="sr-Cyrl-CS"/>
                  </w:rPr>
                </m:ctrlPr>
              </m:sSubPr>
              <m:e>
                <m:r>
                  <w:rPr>
                    <w:rFonts w:ascii="Cambria Math" w:eastAsiaTheme="minorEastAsia" w:hAnsi="Cambria Math"/>
                    <w:lang w:val="sr-Cyrl-CS"/>
                  </w:rPr>
                  <m:t>δ</m:t>
                </m:r>
              </m:e>
              <m:sub>
                <m:r>
                  <w:rPr>
                    <w:rFonts w:ascii="Cambria Math" w:eastAsiaTheme="minorEastAsia" w:hAnsi="Cambria Math"/>
                    <w:lang w:val="sr-Cyrl-CS"/>
                  </w:rPr>
                  <m:t>β</m:t>
                </m:r>
              </m:sub>
            </m:sSub>
            <m:sSub>
              <m:sSubPr>
                <m:ctrlPr>
                  <w:rPr>
                    <w:rFonts w:ascii="Cambria Math" w:eastAsiaTheme="minorEastAsia" w:hAnsi="Cambria Math"/>
                    <w:i/>
                    <w:lang w:val="sr-Cyrl-CS"/>
                  </w:rPr>
                </m:ctrlPr>
              </m:sSubPr>
              <m:e>
                <m:r>
                  <w:rPr>
                    <w:rFonts w:ascii="Cambria Math" w:eastAsiaTheme="minorEastAsia" w:hAnsi="Cambria Math"/>
                    <w:lang w:val="sr-Cyrl-CS"/>
                  </w:rPr>
                  <m:t>ρ</m:t>
                </m:r>
              </m:e>
              <m:sub>
                <m:r>
                  <w:rPr>
                    <w:rFonts w:ascii="Cambria Math" w:eastAsiaTheme="minorEastAsia" w:hAnsi="Cambria Math"/>
                    <w:lang w:val="sr-Cyrl-CS"/>
                  </w:rPr>
                  <m:t>αβ</m:t>
                </m:r>
              </m:sub>
            </m:sSub>
          </m:e>
        </m:rad>
      </m:oMath>
      <w:r w:rsidR="0012161B">
        <w:rPr>
          <w:rFonts w:eastAsiaTheme="minorEastAsia"/>
          <w:lang w:val="sr-Cyrl-CS"/>
        </w:rPr>
        <w:t>,</w:t>
      </w:r>
    </w:p>
    <w:p w:rsidR="0089388C" w:rsidRDefault="00863A09" w:rsidP="00000A4D">
      <w:pPr>
        <w:ind w:left="0" w:firstLine="0"/>
        <w:rPr>
          <w:lang w:val="sr-Cyrl-CS"/>
        </w:rPr>
      </w:pPr>
      <w:r>
        <w:rPr>
          <w:lang w:val="sr-Cyrl-CS"/>
        </w:rPr>
        <w:t>г</w:t>
      </w:r>
      <w:r w:rsidR="00000A4D">
        <w:rPr>
          <w:lang w:val="sr-Cyrl-CS"/>
        </w:rPr>
        <w:t>де су,</w:t>
      </w:r>
    </w:p>
    <w:p w:rsidR="00000A4D" w:rsidRPr="00000A4D" w:rsidRDefault="00000A4D" w:rsidP="00000A4D">
      <w:pPr>
        <w:ind w:left="0" w:firstLine="0"/>
        <w:rPr>
          <w:lang w:val="sr-Cyrl-CS"/>
        </w:rPr>
      </w:pPr>
    </w:p>
    <w:p w:rsidR="0089388C" w:rsidRDefault="00022617" w:rsidP="00000A4D">
      <w:pPr>
        <w:ind w:left="0" w:hanging="5"/>
        <w:rPr>
          <w:rFonts w:eastAsiaTheme="minorEastAsia"/>
          <w:lang w:val="sr-Cyrl-CS"/>
        </w:rPr>
      </w:pPr>
      <m:oMath>
        <m:sSub>
          <m:sSubPr>
            <m:ctrlPr>
              <w:rPr>
                <w:rFonts w:ascii="Cambria Math" w:eastAsiaTheme="minorEastAsia" w:hAnsi="Cambria Math"/>
                <w:i/>
                <w:lang w:val="sr-Cyrl-CS"/>
              </w:rPr>
            </m:ctrlPr>
          </m:sSubPr>
          <m:e>
            <m:r>
              <w:rPr>
                <w:rFonts w:ascii="Cambria Math" w:eastAsiaTheme="minorEastAsia" w:hAnsi="Cambria Math"/>
                <w:lang w:val="sr-Cyrl-CS"/>
              </w:rPr>
              <m:t>δ</m:t>
            </m:r>
          </m:e>
          <m:sub>
            <m:r>
              <w:rPr>
                <w:rFonts w:ascii="Cambria Math" w:eastAsiaTheme="minorEastAsia" w:hAnsi="Cambria Math"/>
                <w:lang w:val="sr-Cyrl-CS"/>
              </w:rPr>
              <m:t>α,</m:t>
            </m:r>
          </m:sub>
        </m:sSub>
        <m:sSub>
          <m:sSubPr>
            <m:ctrlPr>
              <w:rPr>
                <w:rFonts w:ascii="Cambria Math" w:eastAsiaTheme="minorEastAsia" w:hAnsi="Cambria Math"/>
                <w:i/>
                <w:lang w:val="sr-Cyrl-CS"/>
              </w:rPr>
            </m:ctrlPr>
          </m:sSubPr>
          <m:e>
            <m:r>
              <w:rPr>
                <w:rFonts w:ascii="Cambria Math" w:eastAsiaTheme="minorEastAsia" w:hAnsi="Cambria Math"/>
                <w:lang w:val="sr-Cyrl-CS"/>
              </w:rPr>
              <m:t>δ</m:t>
            </m:r>
          </m:e>
          <m:sub>
            <m:r>
              <w:rPr>
                <w:rFonts w:ascii="Cambria Math" w:eastAsiaTheme="minorEastAsia" w:hAnsi="Cambria Math"/>
                <w:lang w:val="sr-Cyrl-CS"/>
              </w:rPr>
              <m:t>β</m:t>
            </m:r>
          </m:sub>
        </m:sSub>
      </m:oMath>
      <w:r w:rsidR="00000A4D">
        <w:rPr>
          <w:rFonts w:eastAsiaTheme="minorEastAsia"/>
          <w:lang w:val="sr-Cyrl-CS"/>
        </w:rPr>
        <w:t xml:space="preserve"> - волатилности средстава А и Б,</w:t>
      </w:r>
    </w:p>
    <w:p w:rsidR="00000A4D" w:rsidRDefault="00000A4D" w:rsidP="00000A4D">
      <w:pPr>
        <w:ind w:left="0" w:hanging="5"/>
        <w:rPr>
          <w:rFonts w:eastAsiaTheme="minorEastAsia"/>
          <w:lang w:val="sr-Cyrl-CS"/>
        </w:rPr>
      </w:pPr>
      <m:oMath>
        <m:r>
          <w:rPr>
            <w:rFonts w:ascii="Cambria Math" w:eastAsiaTheme="minorEastAsia" w:hAnsi="Cambria Math"/>
            <w:lang w:val="sr-Cyrl-CS"/>
          </w:rPr>
          <m:t>α, β</m:t>
        </m:r>
      </m:oMath>
      <w:r>
        <w:rPr>
          <w:rFonts w:eastAsiaTheme="minorEastAsia"/>
          <w:lang w:val="sr-Cyrl-CS"/>
        </w:rPr>
        <w:t xml:space="preserve"> - </w:t>
      </w:r>
      <w:r w:rsidR="004F34D5">
        <w:rPr>
          <w:rFonts w:eastAsiaTheme="minorEastAsia"/>
          <w:lang w:val="sr-Cyrl-CS"/>
        </w:rPr>
        <w:t>удели средстава А и Б у портфолиу,</w:t>
      </w:r>
    </w:p>
    <w:p w:rsidR="004F34D5" w:rsidRDefault="00022617" w:rsidP="00000A4D">
      <w:pPr>
        <w:ind w:left="0" w:hanging="5"/>
        <w:rPr>
          <w:rFonts w:eastAsiaTheme="minorEastAsia"/>
          <w:lang w:val="sr-Cyrl-CS"/>
        </w:rPr>
      </w:pPr>
      <m:oMath>
        <m:sSub>
          <m:sSubPr>
            <m:ctrlPr>
              <w:rPr>
                <w:rFonts w:ascii="Cambria Math" w:eastAsiaTheme="minorEastAsia" w:hAnsi="Cambria Math"/>
                <w:i/>
                <w:lang w:val="sr-Cyrl-CS"/>
              </w:rPr>
            </m:ctrlPr>
          </m:sSubPr>
          <m:e>
            <m:r>
              <w:rPr>
                <w:rFonts w:ascii="Cambria Math" w:eastAsiaTheme="minorEastAsia" w:hAnsi="Cambria Math"/>
                <w:lang w:val="sr-Cyrl-CS"/>
              </w:rPr>
              <m:t>ρ</m:t>
            </m:r>
          </m:e>
          <m:sub>
            <m:r>
              <w:rPr>
                <w:rFonts w:ascii="Cambria Math" w:eastAsiaTheme="minorEastAsia" w:hAnsi="Cambria Math"/>
                <w:lang w:val="sr-Cyrl-CS"/>
              </w:rPr>
              <m:t>αβ</m:t>
            </m:r>
          </m:sub>
        </m:sSub>
      </m:oMath>
      <w:r w:rsidR="004F34D5">
        <w:rPr>
          <w:rFonts w:eastAsiaTheme="minorEastAsia"/>
          <w:lang w:val="sr-Cyrl-CS"/>
        </w:rPr>
        <w:t xml:space="preserve"> – коефицијент корелације између средстава А и Б.</w:t>
      </w:r>
    </w:p>
    <w:p w:rsidR="00863A09" w:rsidRDefault="00863A09" w:rsidP="00000A4D">
      <w:pPr>
        <w:ind w:left="0" w:hanging="5"/>
        <w:rPr>
          <w:rFonts w:eastAsiaTheme="minorEastAsia"/>
          <w:lang w:val="sr-Cyrl-CS"/>
        </w:rPr>
      </w:pPr>
    </w:p>
    <w:p w:rsidR="00863A09" w:rsidRDefault="00863A09" w:rsidP="003830CD">
      <w:pPr>
        <w:ind w:left="0" w:right="-23" w:hanging="5"/>
        <w:rPr>
          <w:lang w:val="sr-Latn-CS"/>
        </w:rPr>
      </w:pPr>
      <w:r>
        <w:rPr>
          <w:rFonts w:eastAsiaTheme="minorEastAsia"/>
          <w:lang w:val="sr-Cyrl-CS"/>
        </w:rPr>
        <w:lastRenderedPageBreak/>
        <w:t>ВаР се рачуна као производ укупне вредности портфолиа, израчунате волатилности</w:t>
      </w:r>
      <w:r w:rsidR="0012161B">
        <w:rPr>
          <w:rFonts w:eastAsiaTheme="minorEastAsia"/>
          <w:lang w:val="sr-Cyrl-CS"/>
        </w:rPr>
        <w:t xml:space="preserve"> портфолиа</w:t>
      </w:r>
      <w:r>
        <w:rPr>
          <w:rFonts w:eastAsiaTheme="minorEastAsia"/>
          <w:lang w:val="sr-Cyrl-CS"/>
        </w:rPr>
        <w:t xml:space="preserve"> и изабраног нивоа поверења. Уколико портфолио садржи више</w:t>
      </w:r>
      <w:r w:rsidR="00C64716">
        <w:rPr>
          <w:rFonts w:eastAsiaTheme="minorEastAsia"/>
          <w:lang w:val="sr-Cyrl-CS"/>
        </w:rPr>
        <w:t xml:space="preserve"> од два средст</w:t>
      </w:r>
      <w:r>
        <w:rPr>
          <w:rFonts w:eastAsiaTheme="minorEastAsia"/>
          <w:lang w:val="sr-Cyrl-CS"/>
        </w:rPr>
        <w:t>ва, користи се матрични метод.</w:t>
      </w:r>
    </w:p>
    <w:p w:rsidR="0089388C" w:rsidRDefault="0089388C" w:rsidP="003830CD">
      <w:pPr>
        <w:ind w:right="-23"/>
        <w:rPr>
          <w:lang w:val="sr-Cyrl-CS"/>
        </w:rPr>
      </w:pPr>
    </w:p>
    <w:p w:rsidR="00D6023C" w:rsidRDefault="00D6023C" w:rsidP="003830CD">
      <w:pPr>
        <w:ind w:right="-23"/>
        <w:rPr>
          <w:lang w:val="sr-Cyrl-CS"/>
        </w:rPr>
      </w:pPr>
    </w:p>
    <w:p w:rsidR="0032017F" w:rsidRPr="0032017F" w:rsidRDefault="0032017F" w:rsidP="003830CD">
      <w:pPr>
        <w:ind w:left="0" w:right="-23" w:hanging="5"/>
        <w:rPr>
          <w:b/>
          <w:lang w:val="sr-Cyrl-CS"/>
        </w:rPr>
      </w:pPr>
      <w:r w:rsidRPr="0032017F">
        <w:rPr>
          <w:b/>
          <w:lang w:val="sr-Cyrl-CS"/>
        </w:rPr>
        <w:t>Рачунање коефицијента корелације</w:t>
      </w:r>
    </w:p>
    <w:p w:rsidR="0089388C" w:rsidRDefault="0089388C" w:rsidP="003830CD">
      <w:pPr>
        <w:ind w:left="0" w:right="-23" w:hanging="5"/>
        <w:rPr>
          <w:lang w:val="sr-Cyrl-CS"/>
        </w:rPr>
      </w:pPr>
    </w:p>
    <w:p w:rsidR="003830CD" w:rsidRDefault="003830CD" w:rsidP="003830CD">
      <w:pPr>
        <w:ind w:left="0" w:right="-23" w:hanging="5"/>
        <w:rPr>
          <w:lang w:val="sr-Cyrl-CS"/>
        </w:rPr>
      </w:pPr>
      <w:r>
        <w:rPr>
          <w:lang w:val="sr-Cyrl-CS"/>
        </w:rPr>
        <w:t>Корелација даје приказ колико се цена једног средства мења у односу на цену другог средства. Предствља веома важну меру ризика, јер означава степен диверзификације портфолиа. Негативна и слаба позитивна корелација</w:t>
      </w:r>
      <w:r w:rsidR="00C64716">
        <w:rPr>
          <w:lang w:val="sr-Cyrl-CS"/>
        </w:rPr>
        <w:t xml:space="preserve"> (до 0.3)</w:t>
      </w:r>
      <w:r>
        <w:rPr>
          <w:lang w:val="sr-Cyrl-CS"/>
        </w:rPr>
        <w:t xml:space="preserve"> имплицирају ниске вредности ВаР-а, док јака позитивна корелација</w:t>
      </w:r>
      <w:r w:rsidR="00C64716">
        <w:rPr>
          <w:lang w:val="sr-Cyrl-CS"/>
        </w:rPr>
        <w:t xml:space="preserve"> (изнад 0.7)</w:t>
      </w:r>
      <w:r>
        <w:rPr>
          <w:lang w:val="sr-Cyrl-CS"/>
        </w:rPr>
        <w:t xml:space="preserve"> указује на слабе ефекте диверзификације и веће вредности ВаР-а.</w:t>
      </w:r>
    </w:p>
    <w:p w:rsidR="00A65BFC" w:rsidRDefault="00A65BFC" w:rsidP="003830CD">
      <w:pPr>
        <w:ind w:left="0" w:right="-23" w:hanging="5"/>
        <w:rPr>
          <w:lang w:val="sr-Cyrl-CS"/>
        </w:rPr>
      </w:pPr>
    </w:p>
    <w:p w:rsidR="00A65BFC" w:rsidRDefault="00914B72" w:rsidP="003830CD">
      <w:pPr>
        <w:ind w:left="0" w:right="-23" w:hanging="5"/>
        <w:rPr>
          <w:lang w:val="sr-Cyrl-CS"/>
        </w:rPr>
      </w:pPr>
      <w:r>
        <w:rPr>
          <w:lang w:val="sr-Cyrl-CS"/>
        </w:rPr>
        <w:t>Коефицијент корелације</w:t>
      </w:r>
      <w:r w:rsidR="00A65BFC">
        <w:rPr>
          <w:lang w:val="sr-Cyrl-CS"/>
        </w:rPr>
        <w:t xml:space="preserve"> два средства</w:t>
      </w:r>
      <w:r>
        <w:rPr>
          <w:lang w:val="sr-Cyrl-CS"/>
        </w:rPr>
        <w:t xml:space="preserve"> А и Б, </w:t>
      </w:r>
      <w:r w:rsidR="00A65BFC">
        <w:rPr>
          <w:lang w:val="sr-Cyrl-CS"/>
        </w:rPr>
        <w:t>рачуна</w:t>
      </w:r>
      <w:r>
        <w:rPr>
          <w:lang w:val="sr-Cyrl-CS"/>
        </w:rPr>
        <w:t xml:space="preserve"> се</w:t>
      </w:r>
      <w:r w:rsidR="00A65BFC">
        <w:rPr>
          <w:lang w:val="sr-Cyrl-CS"/>
        </w:rPr>
        <w:t xml:space="preserve"> применом следеће формуле:</w:t>
      </w:r>
    </w:p>
    <w:p w:rsidR="00A65BFC" w:rsidRDefault="00A65BFC" w:rsidP="003830CD">
      <w:pPr>
        <w:ind w:left="0" w:right="-23" w:hanging="5"/>
        <w:rPr>
          <w:lang w:val="sr-Cyrl-CS"/>
        </w:rPr>
      </w:pPr>
    </w:p>
    <w:p w:rsidR="00A65BFC" w:rsidRDefault="00022617" w:rsidP="00A65BFC">
      <w:pPr>
        <w:ind w:left="0" w:right="-23" w:hanging="5"/>
        <w:jc w:val="center"/>
        <w:rPr>
          <w:lang w:val="sr-Cyrl-CS"/>
        </w:rPr>
      </w:pPr>
      <m:oMathPara>
        <m:oMath>
          <m:sSub>
            <m:sSubPr>
              <m:ctrlPr>
                <w:rPr>
                  <w:rFonts w:ascii="Cambria Math" w:hAnsi="Cambria Math"/>
                  <w:i/>
                  <w:lang w:val="sr-Cyrl-CS"/>
                </w:rPr>
              </m:ctrlPr>
            </m:sSubPr>
            <m:e>
              <m:r>
                <w:rPr>
                  <w:rFonts w:ascii="Cambria Math" w:hAnsi="Cambria Math"/>
                  <w:lang w:val="sr-Cyrl-CS"/>
                </w:rPr>
                <m:t>ρ</m:t>
              </m:r>
            </m:e>
            <m:sub>
              <m:r>
                <w:rPr>
                  <w:rFonts w:ascii="Cambria Math" w:hAnsi="Cambria Math"/>
                  <w:lang w:val="sr-Latn-CS"/>
                </w:rPr>
                <m:t>i,j</m:t>
              </m:r>
            </m:sub>
          </m:sSub>
          <m:r>
            <w:rPr>
              <w:rFonts w:ascii="Cambria Math" w:hAnsi="Cambria Math"/>
              <w:lang w:val="sr-Cyrl-CS"/>
            </w:rPr>
            <m:t>=</m:t>
          </m:r>
          <m:f>
            <m:fPr>
              <m:ctrlPr>
                <w:rPr>
                  <w:rFonts w:ascii="Cambria Math" w:hAnsi="Cambria Math"/>
                  <w:i/>
                  <w:lang w:val="sr-Cyrl-CS"/>
                </w:rPr>
              </m:ctrlPr>
            </m:fPr>
            <m:num>
              <m:sSub>
                <m:sSubPr>
                  <m:ctrlPr>
                    <w:rPr>
                      <w:rFonts w:ascii="Cambria Math" w:hAnsi="Cambria Math"/>
                      <w:i/>
                      <w:lang w:val="sr-Cyrl-CS"/>
                    </w:rPr>
                  </m:ctrlPr>
                </m:sSubPr>
                <m:e>
                  <m:r>
                    <w:rPr>
                      <w:rFonts w:ascii="Cambria Math" w:hAnsi="Cambria Math"/>
                      <w:lang w:val="sr-Cyrl-CS"/>
                    </w:rPr>
                    <m:t>cov</m:t>
                  </m:r>
                </m:e>
                <m:sub>
                  <m:r>
                    <w:rPr>
                      <w:rFonts w:ascii="Cambria Math" w:hAnsi="Cambria Math"/>
                      <w:lang w:val="sr-Cyrl-CS"/>
                    </w:rPr>
                    <m:t>i,j</m:t>
                  </m:r>
                </m:sub>
              </m:sSub>
            </m:num>
            <m:den>
              <m:sSub>
                <m:sSubPr>
                  <m:ctrlPr>
                    <w:rPr>
                      <w:rFonts w:ascii="Cambria Math" w:hAnsi="Cambria Math"/>
                      <w:i/>
                      <w:lang w:val="sr-Cyrl-CS"/>
                    </w:rPr>
                  </m:ctrlPr>
                </m:sSubPr>
                <m:e>
                  <m:r>
                    <w:rPr>
                      <w:rFonts w:ascii="Cambria Math" w:hAnsi="Cambria Math"/>
                      <w:lang w:val="sr-Cyrl-CS"/>
                    </w:rPr>
                    <m:t>δ</m:t>
                  </m:r>
                </m:e>
                <m:sub>
                  <m:r>
                    <w:rPr>
                      <w:rFonts w:ascii="Cambria Math" w:hAnsi="Cambria Math"/>
                      <w:lang w:val="sr-Cyrl-CS"/>
                    </w:rPr>
                    <m:t>i</m:t>
                  </m:r>
                </m:sub>
              </m:sSub>
              <m:sSub>
                <m:sSubPr>
                  <m:ctrlPr>
                    <w:rPr>
                      <w:rFonts w:ascii="Cambria Math" w:hAnsi="Cambria Math"/>
                      <w:i/>
                      <w:lang w:val="sr-Cyrl-CS"/>
                    </w:rPr>
                  </m:ctrlPr>
                </m:sSubPr>
                <m:e>
                  <m:r>
                    <w:rPr>
                      <w:rFonts w:ascii="Cambria Math" w:hAnsi="Cambria Math"/>
                      <w:lang w:val="sr-Cyrl-CS"/>
                    </w:rPr>
                    <m:t>δ</m:t>
                  </m:r>
                </m:e>
                <m:sub>
                  <m:r>
                    <w:rPr>
                      <w:rFonts w:ascii="Cambria Math" w:hAnsi="Cambria Math"/>
                      <w:lang w:val="sr-Cyrl-CS"/>
                    </w:rPr>
                    <m:t>j</m:t>
                  </m:r>
                </m:sub>
              </m:sSub>
            </m:den>
          </m:f>
        </m:oMath>
      </m:oMathPara>
    </w:p>
    <w:p w:rsidR="003830CD" w:rsidRDefault="00541BB2" w:rsidP="003830CD">
      <w:pPr>
        <w:ind w:left="0" w:hanging="5"/>
        <w:rPr>
          <w:lang w:val="sr-Cyrl-CS"/>
        </w:rPr>
      </w:pPr>
      <w:r>
        <w:rPr>
          <w:lang w:val="sr-Cyrl-CS"/>
        </w:rPr>
        <w:t xml:space="preserve">где је: </w:t>
      </w:r>
    </w:p>
    <w:p w:rsidR="00541BB2" w:rsidRDefault="00541BB2" w:rsidP="003830CD">
      <w:pPr>
        <w:ind w:left="0" w:hanging="5"/>
        <w:rPr>
          <w:lang w:val="sr-Cyrl-CS"/>
        </w:rPr>
      </w:pPr>
    </w:p>
    <w:p w:rsidR="003830CD" w:rsidRDefault="00022617" w:rsidP="003830CD">
      <w:pPr>
        <w:ind w:left="0" w:hanging="5"/>
        <w:rPr>
          <w:lang w:val="sr-Cyrl-CS"/>
        </w:rPr>
      </w:pPr>
      <m:oMath>
        <m:sSub>
          <m:sSubPr>
            <m:ctrlPr>
              <w:rPr>
                <w:rFonts w:ascii="Cambria Math" w:hAnsi="Cambria Math"/>
                <w:i/>
                <w:lang w:val="sr-Cyrl-CS"/>
              </w:rPr>
            </m:ctrlPr>
          </m:sSubPr>
          <m:e>
            <m:r>
              <w:rPr>
                <w:rFonts w:ascii="Cambria Math" w:hAnsi="Cambria Math"/>
                <w:lang w:val="sr-Cyrl-CS"/>
              </w:rPr>
              <m:t>cov</m:t>
            </m:r>
          </m:e>
          <m:sub>
            <m:r>
              <w:rPr>
                <w:rFonts w:ascii="Cambria Math" w:hAnsi="Cambria Math"/>
                <w:lang w:val="sr-Cyrl-CS"/>
              </w:rPr>
              <m:t>i</m:t>
            </m:r>
            <m:r>
              <w:rPr>
                <w:rFonts w:ascii="Cambria Math"/>
                <w:lang w:val="sr-Cyrl-CS"/>
              </w:rPr>
              <m:t>,</m:t>
            </m:r>
            <m:r>
              <w:rPr>
                <w:rFonts w:ascii="Cambria Math" w:hAnsi="Cambria Math"/>
                <w:lang w:val="sr-Cyrl-CS"/>
              </w:rPr>
              <m:t>j</m:t>
            </m:r>
          </m:sub>
        </m:sSub>
      </m:oMath>
      <w:r w:rsidR="00A65BFC" w:rsidRPr="00277A47">
        <w:rPr>
          <w:rFonts w:eastAsiaTheme="minorEastAsia"/>
          <w:lang w:val="sr-Latn-CS"/>
        </w:rPr>
        <w:t xml:space="preserve"> – </w:t>
      </w:r>
      <w:r w:rsidR="00A65BFC" w:rsidRPr="00277A47">
        <w:rPr>
          <w:rFonts w:eastAsiaTheme="minorEastAsia"/>
          <w:lang w:val="sr-Cyrl-CS"/>
        </w:rPr>
        <w:t>коваријанса (</w:t>
      </w:r>
      <w:r w:rsidR="00A65BFC" w:rsidRPr="00277A47">
        <w:rPr>
          <w:rFonts w:ascii="Cambria Math" w:hAnsi="Cambria Math"/>
        </w:rPr>
        <w:t>𝑐𝑜𝑣𝑖</w:t>
      </w:r>
      <w:r w:rsidR="00A65BFC" w:rsidRPr="00277A47">
        <w:t>,</w:t>
      </w:r>
      <w:r w:rsidR="00A65BFC" w:rsidRPr="00277A47">
        <w:rPr>
          <w:rFonts w:ascii="Cambria Math" w:hAnsi="Cambria Math"/>
        </w:rPr>
        <w:t>𝑗</w:t>
      </w:r>
      <w:r w:rsidR="00A65BFC" w:rsidRPr="00277A47">
        <w:t>=1</w:t>
      </w:r>
      <w:r w:rsidR="00170A17">
        <w:rPr>
          <w:lang w:val="sr-Cyrl-CS"/>
        </w:rPr>
        <w:t>/</w:t>
      </w:r>
      <w:r w:rsidR="00A65BFC" w:rsidRPr="00277A47">
        <w:rPr>
          <w:rFonts w:ascii="Cambria Math" w:hAnsi="Cambria Math"/>
        </w:rPr>
        <w:t>𝑛</w:t>
      </w:r>
      <w:r w:rsidR="00170A17">
        <w:rPr>
          <w:rFonts w:ascii="Cambria Math" w:hAnsi="Cambria Math"/>
          <w:lang w:val="sr-Cyrl-CS"/>
        </w:rPr>
        <w:t xml:space="preserve"> (</w:t>
      </w:r>
      <w:r w:rsidR="00A65BFC" w:rsidRPr="00277A47">
        <w:t>Σ((</w:t>
      </w:r>
      <w:r w:rsidR="00A65BFC" w:rsidRPr="00277A47">
        <w:rPr>
          <w:rFonts w:ascii="Cambria Math" w:hAnsi="Cambria Math"/>
        </w:rPr>
        <w:t>𝑋𝑖</w:t>
      </w:r>
      <w:r w:rsidR="00A65BFC" w:rsidRPr="00277A47">
        <w:t>−</w:t>
      </w:r>
      <w:r w:rsidR="00A65BFC" w:rsidRPr="00277A47">
        <w:rPr>
          <w:rFonts w:ascii="Cambria Math" w:hAnsi="Cambria Math"/>
        </w:rPr>
        <w:t>𝑋̅𝑖</w:t>
      </w:r>
      <w:r w:rsidR="00A65BFC" w:rsidRPr="00277A47">
        <w:t>)(</w:t>
      </w:r>
      <w:r w:rsidR="00A65BFC" w:rsidRPr="00277A47">
        <w:rPr>
          <w:rFonts w:ascii="Cambria Math" w:hAnsi="Cambria Math"/>
        </w:rPr>
        <w:t>𝑌𝑖</w:t>
      </w:r>
      <w:r w:rsidR="00A65BFC" w:rsidRPr="00277A47">
        <w:t>−</w:t>
      </w:r>
      <w:r w:rsidR="00A65BFC" w:rsidRPr="00277A47">
        <w:rPr>
          <w:rFonts w:ascii="Cambria Math" w:hAnsi="Cambria Math"/>
        </w:rPr>
        <w:t>𝑌̅</w:t>
      </w:r>
      <w:r w:rsidR="00A65BFC" w:rsidRPr="00277A47">
        <w:t>)</w:t>
      </w:r>
      <w:r w:rsidR="00170A17">
        <w:rPr>
          <w:lang w:val="sr-Cyrl-CS"/>
        </w:rPr>
        <w:t>)</w:t>
      </w:r>
      <w:r w:rsidR="00277A47" w:rsidRPr="00277A47">
        <w:rPr>
          <w:lang w:val="sr-Cyrl-CS"/>
        </w:rPr>
        <w:t xml:space="preserve">, где су </w:t>
      </w:r>
      <w:r w:rsidR="00277A47" w:rsidRPr="00277A47">
        <w:rPr>
          <w:rFonts w:ascii="Cambria Math" w:hAnsi="Cambria Math"/>
        </w:rPr>
        <w:t>𝑋𝑖</w:t>
      </w:r>
      <w:r w:rsidR="00277A47" w:rsidRPr="00277A47">
        <w:t xml:space="preserve">, </w:t>
      </w:r>
      <w:r w:rsidR="00277A47" w:rsidRPr="00277A47">
        <w:rPr>
          <w:rFonts w:ascii="Cambria Math" w:hAnsi="Cambria Math"/>
        </w:rPr>
        <w:t>𝑌𝑖</w:t>
      </w:r>
      <w:r w:rsidR="00277A47" w:rsidRPr="00277A47">
        <w:rPr>
          <w:lang w:val="sr-Cyrl-CS"/>
        </w:rPr>
        <w:t xml:space="preserve"> промене цена средстава, а </w:t>
      </w:r>
      <w:r w:rsidR="00277A47" w:rsidRPr="00277A47">
        <w:rPr>
          <w:rFonts w:ascii="Cambria Math" w:hAnsi="Cambria Math"/>
        </w:rPr>
        <w:t>𝑋̅</w:t>
      </w:r>
      <w:r w:rsidR="00277A47" w:rsidRPr="00277A47">
        <w:t xml:space="preserve">, </w:t>
      </w:r>
      <w:r w:rsidR="00277A47" w:rsidRPr="00277A47">
        <w:rPr>
          <w:rFonts w:ascii="Cambria Math" w:hAnsi="Cambria Math"/>
        </w:rPr>
        <w:t>𝑌̅</w:t>
      </w:r>
      <w:r w:rsidR="00277A47" w:rsidRPr="00277A47">
        <w:rPr>
          <w:lang w:val="sr-Cyrl-CS"/>
        </w:rPr>
        <w:t xml:space="preserve"> њихове очекиване (средње) вредности</w:t>
      </w:r>
      <w:r w:rsidR="00A65BFC" w:rsidRPr="00277A47">
        <w:t>),</w:t>
      </w:r>
    </w:p>
    <w:p w:rsidR="00277A47" w:rsidRPr="00277A47" w:rsidRDefault="00022617" w:rsidP="003830CD">
      <w:pPr>
        <w:ind w:left="0" w:hanging="5"/>
        <w:rPr>
          <w:lang w:val="sr-Cyrl-CS"/>
        </w:rPr>
      </w:pPr>
      <m:oMath>
        <m:sSub>
          <m:sSubPr>
            <m:ctrlPr>
              <w:rPr>
                <w:rFonts w:ascii="Cambria Math" w:hAnsi="Cambria Math"/>
                <w:i/>
                <w:lang w:val="sr-Cyrl-CS"/>
              </w:rPr>
            </m:ctrlPr>
          </m:sSubPr>
          <m:e>
            <m:r>
              <w:rPr>
                <w:rFonts w:ascii="Cambria Math" w:hAnsi="Cambria Math"/>
                <w:lang w:val="sr-Cyrl-CS"/>
              </w:rPr>
              <m:t>δ</m:t>
            </m:r>
          </m:e>
          <m:sub>
            <m:r>
              <w:rPr>
                <w:rFonts w:ascii="Cambria Math" w:hAnsi="Cambria Math"/>
                <w:lang w:val="sr-Cyrl-CS"/>
              </w:rPr>
              <m:t>i</m:t>
            </m:r>
          </m:sub>
        </m:sSub>
        <m:sSub>
          <m:sSubPr>
            <m:ctrlPr>
              <w:rPr>
                <w:rFonts w:ascii="Cambria Math" w:hAnsi="Cambria Math"/>
                <w:i/>
                <w:lang w:val="sr-Cyrl-CS"/>
              </w:rPr>
            </m:ctrlPr>
          </m:sSubPr>
          <m:e>
            <m:r>
              <w:rPr>
                <w:rFonts w:ascii="Cambria Math" w:hAnsi="Cambria Math"/>
                <w:lang w:val="sr-Cyrl-CS"/>
              </w:rPr>
              <m:t>, δ</m:t>
            </m:r>
          </m:e>
          <m:sub>
            <m:r>
              <w:rPr>
                <w:rFonts w:ascii="Cambria Math" w:hAnsi="Cambria Math"/>
                <w:lang w:val="sr-Cyrl-CS"/>
              </w:rPr>
              <m:t>j</m:t>
            </m:r>
          </m:sub>
        </m:sSub>
      </m:oMath>
      <w:r w:rsidR="00277A47">
        <w:rPr>
          <w:rFonts w:eastAsiaTheme="minorEastAsia"/>
          <w:lang w:val="sr-Cyrl-CS"/>
        </w:rPr>
        <w:t xml:space="preserve"> - волатилности средстава А и Б.</w:t>
      </w:r>
    </w:p>
    <w:p w:rsidR="003830CD" w:rsidRDefault="003830CD" w:rsidP="003830CD">
      <w:pPr>
        <w:ind w:left="0" w:hanging="5"/>
        <w:rPr>
          <w:lang w:val="sr-Cyrl-CS"/>
        </w:rPr>
      </w:pPr>
    </w:p>
    <w:p w:rsidR="003830CD" w:rsidRDefault="00914B72" w:rsidP="003830CD">
      <w:pPr>
        <w:ind w:left="0" w:hanging="5"/>
        <w:rPr>
          <w:lang w:val="sr-Cyrl-CS"/>
        </w:rPr>
      </w:pPr>
      <w:r w:rsidRPr="00914B72">
        <w:rPr>
          <w:lang w:val="sr-Cyrl-CS"/>
        </w:rPr>
        <w:t xml:space="preserve">За коефицијент корелације важи </w:t>
      </w:r>
      <w:r w:rsidRPr="00914B72">
        <w:t>−1≤</w:t>
      </w:r>
      <w:r>
        <w:rPr>
          <w:lang w:val="sr-Cyrl-CS"/>
        </w:rPr>
        <w:t xml:space="preserve"> </w:t>
      </w:r>
      <w:r w:rsidRPr="00914B72">
        <w:rPr>
          <w:rFonts w:ascii="Cambria Math" w:hAnsi="Cambria Math"/>
        </w:rPr>
        <w:t>𝜌</w:t>
      </w:r>
      <w:r>
        <w:rPr>
          <w:rFonts w:ascii="Cambria Math" w:hAnsi="Cambria Math"/>
          <w:lang w:val="sr-Cyrl-CS"/>
        </w:rPr>
        <w:t xml:space="preserve"> </w:t>
      </w:r>
      <w:r w:rsidRPr="00914B72">
        <w:t>≤1,</w:t>
      </w:r>
      <w:r w:rsidRPr="00914B72">
        <w:rPr>
          <w:lang w:val="sr-Cyrl-CS"/>
        </w:rPr>
        <w:t xml:space="preserve"> што предпоставља линеарну зависност средстава. Уколико је коефицијент корелације једнак нули, значи да линеарна зависност средстава не постоји.</w:t>
      </w:r>
    </w:p>
    <w:p w:rsidR="009A108A" w:rsidRDefault="009A108A" w:rsidP="003830CD">
      <w:pPr>
        <w:ind w:left="0" w:hanging="5"/>
        <w:rPr>
          <w:lang w:val="sr-Cyrl-CS"/>
        </w:rPr>
      </w:pPr>
    </w:p>
    <w:p w:rsidR="00557049" w:rsidRPr="00557049" w:rsidRDefault="00557049" w:rsidP="003830CD">
      <w:pPr>
        <w:ind w:left="0" w:hanging="5"/>
        <w:rPr>
          <w:b/>
          <w:lang w:val="sr-Cyrl-CS"/>
        </w:rPr>
      </w:pPr>
      <w:r w:rsidRPr="00557049">
        <w:rPr>
          <w:b/>
          <w:lang w:val="sr-Cyrl-CS"/>
        </w:rPr>
        <w:t>Пример:</w:t>
      </w:r>
    </w:p>
    <w:p w:rsidR="00557049" w:rsidRDefault="00557049" w:rsidP="003830CD">
      <w:pPr>
        <w:ind w:left="0" w:hanging="5"/>
        <w:rPr>
          <w:lang w:val="sr-Cyrl-CS"/>
        </w:rPr>
      </w:pPr>
    </w:p>
    <w:p w:rsidR="00557049" w:rsidRDefault="00557049" w:rsidP="00557049">
      <w:pPr>
        <w:ind w:left="0" w:hanging="5"/>
        <w:rPr>
          <w:lang w:val="sr-Cyrl-CS"/>
        </w:rPr>
      </w:pPr>
      <w:r>
        <w:rPr>
          <w:lang w:val="sr-Cyrl-CS"/>
        </w:rPr>
        <w:t xml:space="preserve">Израчунајте коефицијент корелације </w:t>
      </w:r>
      <w:r w:rsidR="00541BB2">
        <w:rPr>
          <w:lang w:val="sr-Cyrl-CS"/>
        </w:rPr>
        <w:t>средстава А и Б на основу кретања њихових цена, које су дате у следећој табели:</w:t>
      </w:r>
    </w:p>
    <w:p w:rsidR="00557049" w:rsidRDefault="00557049" w:rsidP="00557049">
      <w:pPr>
        <w:ind w:left="0" w:hanging="5"/>
        <w:rPr>
          <w:lang w:val="sr-Cyrl-CS"/>
        </w:rPr>
      </w:pPr>
    </w:p>
    <w:tbl>
      <w:tblPr>
        <w:tblStyle w:val="TableGrid"/>
        <w:tblW w:w="0" w:type="auto"/>
        <w:tblInd w:w="3085" w:type="dxa"/>
        <w:tblLook w:val="04A0"/>
      </w:tblPr>
      <w:tblGrid>
        <w:gridCol w:w="1760"/>
        <w:gridCol w:w="1784"/>
      </w:tblGrid>
      <w:tr w:rsidR="00557049" w:rsidTr="00557049">
        <w:tc>
          <w:tcPr>
            <w:tcW w:w="1760" w:type="dxa"/>
          </w:tcPr>
          <w:p w:rsidR="00557049" w:rsidRDefault="00557049" w:rsidP="00557049">
            <w:pPr>
              <w:ind w:left="0" w:firstLine="0"/>
              <w:jc w:val="left"/>
              <w:rPr>
                <w:lang w:val="sr-Cyrl-CS"/>
              </w:rPr>
            </w:pPr>
            <w:r>
              <w:rPr>
                <w:lang w:val="sr-Cyrl-CS"/>
              </w:rPr>
              <w:t>Средство А (€)</w:t>
            </w:r>
          </w:p>
        </w:tc>
        <w:tc>
          <w:tcPr>
            <w:tcW w:w="1784" w:type="dxa"/>
          </w:tcPr>
          <w:p w:rsidR="00557049" w:rsidRDefault="00557049" w:rsidP="00557049">
            <w:pPr>
              <w:ind w:left="0" w:firstLine="0"/>
              <w:jc w:val="left"/>
              <w:rPr>
                <w:lang w:val="sr-Cyrl-CS"/>
              </w:rPr>
            </w:pPr>
            <w:r>
              <w:rPr>
                <w:lang w:val="sr-Cyrl-CS"/>
              </w:rPr>
              <w:t>Средство Б (€)</w:t>
            </w:r>
          </w:p>
        </w:tc>
      </w:tr>
      <w:tr w:rsidR="00557049" w:rsidTr="00557049">
        <w:tc>
          <w:tcPr>
            <w:tcW w:w="1760" w:type="dxa"/>
            <w:vAlign w:val="center"/>
          </w:tcPr>
          <w:p w:rsidR="00557049" w:rsidRDefault="00557049" w:rsidP="00557049">
            <w:pPr>
              <w:ind w:left="0" w:firstLine="0"/>
              <w:jc w:val="center"/>
              <w:rPr>
                <w:lang w:val="sr-Cyrl-CS"/>
              </w:rPr>
            </w:pPr>
            <w:r>
              <w:rPr>
                <w:lang w:val="sr-Cyrl-CS"/>
              </w:rPr>
              <w:t>3</w:t>
            </w:r>
          </w:p>
        </w:tc>
        <w:tc>
          <w:tcPr>
            <w:tcW w:w="1784" w:type="dxa"/>
            <w:vAlign w:val="center"/>
          </w:tcPr>
          <w:p w:rsidR="00557049" w:rsidRDefault="00557049" w:rsidP="00557049">
            <w:pPr>
              <w:ind w:left="0" w:firstLine="0"/>
              <w:jc w:val="center"/>
              <w:rPr>
                <w:lang w:val="sr-Cyrl-CS"/>
              </w:rPr>
            </w:pPr>
            <w:r>
              <w:rPr>
                <w:lang w:val="sr-Cyrl-CS"/>
              </w:rPr>
              <w:t>9</w:t>
            </w:r>
          </w:p>
        </w:tc>
      </w:tr>
      <w:tr w:rsidR="00557049" w:rsidTr="00557049">
        <w:tc>
          <w:tcPr>
            <w:tcW w:w="1760" w:type="dxa"/>
            <w:vAlign w:val="center"/>
          </w:tcPr>
          <w:p w:rsidR="00557049" w:rsidRDefault="00557049" w:rsidP="00557049">
            <w:pPr>
              <w:ind w:left="0" w:firstLine="0"/>
              <w:jc w:val="center"/>
              <w:rPr>
                <w:lang w:val="sr-Cyrl-CS"/>
              </w:rPr>
            </w:pPr>
            <w:r>
              <w:rPr>
                <w:lang w:val="sr-Cyrl-CS"/>
              </w:rPr>
              <w:t>2</w:t>
            </w:r>
          </w:p>
        </w:tc>
        <w:tc>
          <w:tcPr>
            <w:tcW w:w="1784" w:type="dxa"/>
            <w:vAlign w:val="center"/>
          </w:tcPr>
          <w:p w:rsidR="00557049" w:rsidRDefault="00557049" w:rsidP="00557049">
            <w:pPr>
              <w:ind w:left="0" w:firstLine="0"/>
              <w:jc w:val="center"/>
              <w:rPr>
                <w:lang w:val="sr-Cyrl-CS"/>
              </w:rPr>
            </w:pPr>
            <w:r>
              <w:rPr>
                <w:lang w:val="sr-Cyrl-CS"/>
              </w:rPr>
              <w:t>7</w:t>
            </w:r>
          </w:p>
        </w:tc>
      </w:tr>
      <w:tr w:rsidR="00557049" w:rsidTr="00557049">
        <w:tc>
          <w:tcPr>
            <w:tcW w:w="1760" w:type="dxa"/>
            <w:vAlign w:val="center"/>
          </w:tcPr>
          <w:p w:rsidR="00557049" w:rsidRDefault="00557049" w:rsidP="00557049">
            <w:pPr>
              <w:ind w:left="0" w:firstLine="0"/>
              <w:jc w:val="center"/>
              <w:rPr>
                <w:lang w:val="sr-Cyrl-CS"/>
              </w:rPr>
            </w:pPr>
            <w:r>
              <w:rPr>
                <w:lang w:val="sr-Cyrl-CS"/>
              </w:rPr>
              <w:t>4</w:t>
            </w:r>
          </w:p>
        </w:tc>
        <w:tc>
          <w:tcPr>
            <w:tcW w:w="1784" w:type="dxa"/>
            <w:vAlign w:val="center"/>
          </w:tcPr>
          <w:p w:rsidR="00557049" w:rsidRDefault="00557049" w:rsidP="00557049">
            <w:pPr>
              <w:ind w:left="0" w:firstLine="0"/>
              <w:jc w:val="center"/>
              <w:rPr>
                <w:lang w:val="sr-Cyrl-CS"/>
              </w:rPr>
            </w:pPr>
            <w:r>
              <w:rPr>
                <w:lang w:val="sr-Cyrl-CS"/>
              </w:rPr>
              <w:t>12</w:t>
            </w:r>
          </w:p>
        </w:tc>
      </w:tr>
      <w:tr w:rsidR="00557049" w:rsidTr="00557049">
        <w:tc>
          <w:tcPr>
            <w:tcW w:w="1760" w:type="dxa"/>
            <w:vAlign w:val="center"/>
          </w:tcPr>
          <w:p w:rsidR="00557049" w:rsidRDefault="00557049" w:rsidP="00557049">
            <w:pPr>
              <w:ind w:left="0" w:firstLine="0"/>
              <w:jc w:val="center"/>
              <w:rPr>
                <w:lang w:val="sr-Cyrl-CS"/>
              </w:rPr>
            </w:pPr>
            <w:r>
              <w:rPr>
                <w:lang w:val="sr-Cyrl-CS"/>
              </w:rPr>
              <w:t>5</w:t>
            </w:r>
          </w:p>
        </w:tc>
        <w:tc>
          <w:tcPr>
            <w:tcW w:w="1784" w:type="dxa"/>
            <w:vAlign w:val="center"/>
          </w:tcPr>
          <w:p w:rsidR="00557049" w:rsidRDefault="00557049" w:rsidP="00557049">
            <w:pPr>
              <w:ind w:left="0" w:firstLine="0"/>
              <w:jc w:val="center"/>
              <w:rPr>
                <w:lang w:val="sr-Cyrl-CS"/>
              </w:rPr>
            </w:pPr>
            <w:r>
              <w:rPr>
                <w:lang w:val="sr-Cyrl-CS"/>
              </w:rPr>
              <w:t>15</w:t>
            </w:r>
          </w:p>
        </w:tc>
      </w:tr>
      <w:tr w:rsidR="00557049" w:rsidTr="00557049">
        <w:tc>
          <w:tcPr>
            <w:tcW w:w="1760" w:type="dxa"/>
            <w:vAlign w:val="center"/>
          </w:tcPr>
          <w:p w:rsidR="00557049" w:rsidRDefault="00557049" w:rsidP="00557049">
            <w:pPr>
              <w:ind w:left="0" w:firstLine="0"/>
              <w:jc w:val="center"/>
              <w:rPr>
                <w:lang w:val="sr-Cyrl-CS"/>
              </w:rPr>
            </w:pPr>
            <w:r>
              <w:rPr>
                <w:lang w:val="sr-Cyrl-CS"/>
              </w:rPr>
              <w:t>6</w:t>
            </w:r>
          </w:p>
        </w:tc>
        <w:tc>
          <w:tcPr>
            <w:tcW w:w="1784" w:type="dxa"/>
            <w:vAlign w:val="center"/>
          </w:tcPr>
          <w:p w:rsidR="00557049" w:rsidRDefault="00557049" w:rsidP="00557049">
            <w:pPr>
              <w:ind w:left="0" w:firstLine="0"/>
              <w:jc w:val="center"/>
              <w:rPr>
                <w:lang w:val="sr-Cyrl-CS"/>
              </w:rPr>
            </w:pPr>
            <w:r>
              <w:rPr>
                <w:lang w:val="sr-Cyrl-CS"/>
              </w:rPr>
              <w:t>17</w:t>
            </w:r>
          </w:p>
        </w:tc>
      </w:tr>
    </w:tbl>
    <w:p w:rsidR="00557049" w:rsidRDefault="00557049" w:rsidP="00557049">
      <w:pPr>
        <w:ind w:left="0" w:hanging="5"/>
        <w:rPr>
          <w:lang w:val="sr-Cyrl-CS"/>
        </w:rPr>
      </w:pPr>
    </w:p>
    <w:p w:rsidR="00C64716" w:rsidRDefault="00C64716" w:rsidP="00557049">
      <w:pPr>
        <w:ind w:left="0" w:hanging="5"/>
        <w:rPr>
          <w:lang w:val="sr-Cyrl-CS"/>
        </w:rPr>
      </w:pPr>
    </w:p>
    <w:p w:rsidR="00755FFC" w:rsidRDefault="00755FFC" w:rsidP="00557049">
      <w:pPr>
        <w:ind w:left="0" w:hanging="5"/>
        <w:rPr>
          <w:lang w:val="sr-Cyrl-CS"/>
        </w:rPr>
      </w:pPr>
      <w:r>
        <w:rPr>
          <w:lang w:val="sr-Cyrl-CS"/>
        </w:rPr>
        <w:t>Решење:</w:t>
      </w:r>
    </w:p>
    <w:p w:rsidR="003B4B32" w:rsidRPr="00742C53" w:rsidRDefault="00742C53" w:rsidP="00557049">
      <w:pPr>
        <w:ind w:left="0" w:right="-23" w:hanging="5"/>
        <w:jc w:val="center"/>
        <w:rPr>
          <w:lang w:val="sr-Cyrl-CS"/>
        </w:rPr>
      </w:pPr>
      <w:r>
        <w:rPr>
          <w:noProof/>
        </w:rPr>
        <w:lastRenderedPageBreak/>
        <w:drawing>
          <wp:inline distT="0" distB="0" distL="0" distR="0">
            <wp:extent cx="6005195" cy="257619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lum bright="20000" contrast="40000"/>
                    </a:blip>
                    <a:srcRect/>
                    <a:stretch>
                      <a:fillRect/>
                    </a:stretch>
                  </pic:blipFill>
                  <pic:spPr bwMode="auto">
                    <a:xfrm>
                      <a:off x="0" y="0"/>
                      <a:ext cx="6005195" cy="2576195"/>
                    </a:xfrm>
                    <a:prstGeom prst="rect">
                      <a:avLst/>
                    </a:prstGeom>
                    <a:noFill/>
                    <a:ln w="9525">
                      <a:noFill/>
                      <a:miter lim="800000"/>
                      <a:headEnd/>
                      <a:tailEnd/>
                    </a:ln>
                  </pic:spPr>
                </pic:pic>
              </a:graphicData>
            </a:graphic>
          </wp:inline>
        </w:drawing>
      </w:r>
    </w:p>
    <w:p w:rsidR="003B4B32" w:rsidRPr="00595C20" w:rsidRDefault="003B4B32" w:rsidP="003B4B32">
      <w:pPr>
        <w:ind w:left="0" w:right="4" w:hanging="5"/>
        <w:jc w:val="center"/>
        <w:rPr>
          <w:sz w:val="22"/>
          <w:szCs w:val="22"/>
          <w:lang w:val="sr-Cyrl-CS"/>
        </w:rPr>
      </w:pPr>
      <w:r w:rsidRPr="00595C20">
        <w:rPr>
          <w:i/>
          <w:sz w:val="22"/>
          <w:szCs w:val="22"/>
          <w:lang w:val="sr-Cyrl-CS"/>
        </w:rPr>
        <w:t>Слика</w:t>
      </w:r>
      <w:r>
        <w:rPr>
          <w:i/>
          <w:sz w:val="22"/>
          <w:szCs w:val="22"/>
          <w:lang w:val="sr-Cyrl-CS"/>
        </w:rPr>
        <w:t xml:space="preserve"> 3</w:t>
      </w:r>
      <w:r w:rsidRPr="00595C20">
        <w:rPr>
          <w:i/>
          <w:sz w:val="22"/>
          <w:szCs w:val="22"/>
          <w:lang w:val="sr-Cyrl-CS"/>
        </w:rPr>
        <w:t>.</w:t>
      </w:r>
      <w:r w:rsidRPr="00595C20">
        <w:rPr>
          <w:sz w:val="22"/>
          <w:szCs w:val="22"/>
          <w:lang w:val="sr-Cyrl-CS"/>
        </w:rPr>
        <w:t xml:space="preserve"> Пример израчунавања </w:t>
      </w:r>
      <w:r>
        <w:rPr>
          <w:sz w:val="22"/>
          <w:szCs w:val="22"/>
          <w:lang w:val="sr-Cyrl-CS"/>
        </w:rPr>
        <w:t>коефицијента корелације</w:t>
      </w:r>
    </w:p>
    <w:p w:rsidR="003B4B32" w:rsidRPr="00C24470" w:rsidRDefault="003B4B32" w:rsidP="003B4B32">
      <w:pPr>
        <w:pStyle w:val="ListParagraph"/>
        <w:ind w:left="0" w:right="4" w:firstLine="0"/>
        <w:jc w:val="center"/>
        <w:rPr>
          <w:sz w:val="20"/>
          <w:szCs w:val="20"/>
          <w:lang w:val="sr-Cyrl-CS"/>
        </w:rPr>
      </w:pPr>
      <w:r w:rsidRPr="00C24470">
        <w:rPr>
          <w:sz w:val="20"/>
          <w:szCs w:val="20"/>
          <w:lang w:val="sr-Cyrl-CS"/>
        </w:rPr>
        <w:t xml:space="preserve">Извор: </w:t>
      </w:r>
      <w:r>
        <w:rPr>
          <w:sz w:val="20"/>
          <w:szCs w:val="20"/>
          <w:lang w:val="sr-Cyrl-CS"/>
        </w:rPr>
        <w:t>аутор</w:t>
      </w:r>
    </w:p>
    <w:p w:rsidR="003B4B32" w:rsidRDefault="003B4B32" w:rsidP="00557049">
      <w:pPr>
        <w:ind w:left="0" w:firstLine="0"/>
        <w:rPr>
          <w:i/>
          <w:lang w:val="sr-Cyrl-CS"/>
        </w:rPr>
      </w:pPr>
    </w:p>
    <w:p w:rsidR="003B4B32" w:rsidRPr="003B4B32" w:rsidRDefault="003B4B32" w:rsidP="00557049">
      <w:pPr>
        <w:ind w:left="0" w:right="-23" w:hanging="5"/>
        <w:rPr>
          <w:lang w:val="sr-Cyrl-CS"/>
        </w:rPr>
      </w:pPr>
      <w:r w:rsidRPr="003B4B32">
        <w:rPr>
          <w:i/>
          <w:lang w:val="sr-Latn-CS"/>
        </w:rPr>
        <w:t>Excel</w:t>
      </w:r>
      <w:r w:rsidRPr="003B4B32">
        <w:rPr>
          <w:lang w:val="sr-Cyrl-CS"/>
        </w:rPr>
        <w:t xml:space="preserve"> наредба која се користи за рачунање коваријансе је</w:t>
      </w:r>
      <w:r w:rsidRPr="003B4B32">
        <w:rPr>
          <w:lang w:val="sr-Latn-CS"/>
        </w:rPr>
        <w:t xml:space="preserve"> </w:t>
      </w:r>
      <w:r w:rsidRPr="003B4B32">
        <w:rPr>
          <w:i/>
          <w:lang w:val="sr-Latn-CS"/>
        </w:rPr>
        <w:t>COVAR</w:t>
      </w:r>
      <w:r w:rsidRPr="003B4B32">
        <w:rPr>
          <w:lang w:val="sr-Cyrl-CS"/>
        </w:rPr>
        <w:t>, док се за израчунавање коефицијента корелације користи наредба</w:t>
      </w:r>
      <w:r w:rsidRPr="003B4B32">
        <w:rPr>
          <w:lang w:val="sr-Latn-CS"/>
        </w:rPr>
        <w:t xml:space="preserve">  </w:t>
      </w:r>
      <w:r w:rsidRPr="003B4B32">
        <w:rPr>
          <w:i/>
          <w:lang w:val="sr-Latn-CS"/>
        </w:rPr>
        <w:t>CORREL</w:t>
      </w:r>
      <w:r w:rsidRPr="003B4B32">
        <w:rPr>
          <w:lang w:val="sr-Cyrl-CS"/>
        </w:rPr>
        <w:t>.</w:t>
      </w:r>
    </w:p>
    <w:p w:rsidR="003B4B32" w:rsidRDefault="003B4B32" w:rsidP="0032017F">
      <w:pPr>
        <w:ind w:left="0" w:hanging="5"/>
        <w:rPr>
          <w:b/>
          <w:lang w:val="sr-Cyrl-CS"/>
        </w:rPr>
      </w:pPr>
    </w:p>
    <w:p w:rsidR="0089388C" w:rsidRPr="0032017F" w:rsidRDefault="0032017F" w:rsidP="0032017F">
      <w:pPr>
        <w:ind w:left="0" w:hanging="5"/>
        <w:rPr>
          <w:b/>
          <w:lang w:val="sr-Cyrl-CS"/>
        </w:rPr>
      </w:pPr>
      <w:r w:rsidRPr="0032017F">
        <w:rPr>
          <w:b/>
          <w:lang w:val="sr-Cyrl-CS"/>
        </w:rPr>
        <w:t xml:space="preserve">Предности и </w:t>
      </w:r>
      <w:r w:rsidR="003B4B32">
        <w:rPr>
          <w:b/>
          <w:lang w:val="sr-Cyrl-CS"/>
        </w:rPr>
        <w:t>недостаци</w:t>
      </w:r>
      <w:r w:rsidRPr="0032017F">
        <w:rPr>
          <w:b/>
          <w:lang w:val="sr-Cyrl-CS"/>
        </w:rPr>
        <w:t xml:space="preserve"> аналитичке методе</w:t>
      </w:r>
    </w:p>
    <w:p w:rsidR="0089388C" w:rsidRDefault="0089388C" w:rsidP="007E1608">
      <w:pPr>
        <w:rPr>
          <w:lang w:val="sr-Latn-CS"/>
        </w:rPr>
      </w:pPr>
    </w:p>
    <w:p w:rsidR="0089388C" w:rsidRPr="0032017F" w:rsidRDefault="0032017F" w:rsidP="003D4C13">
      <w:pPr>
        <w:ind w:left="0" w:right="-23" w:hanging="5"/>
        <w:rPr>
          <w:lang w:val="sr-Cyrl-CS"/>
        </w:rPr>
      </w:pPr>
      <w:r>
        <w:rPr>
          <w:lang w:val="sr-Cyrl-CS"/>
        </w:rPr>
        <w:t>Највећа предност аналитичке методе је што се брзо израчунава</w:t>
      </w:r>
      <w:r w:rsidR="003D4C13">
        <w:rPr>
          <w:lang w:val="sr-Cyrl-CS"/>
        </w:rPr>
        <w:t xml:space="preserve"> (базирана је на два параметра). П</w:t>
      </w:r>
      <w:r>
        <w:rPr>
          <w:lang w:val="sr-Cyrl-CS"/>
        </w:rPr>
        <w:t xml:space="preserve">одаци су лако доступни, </w:t>
      </w:r>
      <w:r w:rsidR="003D4C13">
        <w:rPr>
          <w:lang w:val="sr-Cyrl-CS"/>
        </w:rPr>
        <w:t>што значи</w:t>
      </w:r>
      <w:r>
        <w:rPr>
          <w:lang w:val="sr-Cyrl-CS"/>
        </w:rPr>
        <w:t xml:space="preserve"> да је могуће користити у реалном времену. Међути, емпиријски подаци показују да расподела приноса финансијских средстава одговара нормалној расподели са „дебелим“ реповима, код које постоји већа могућност екстремних промена цена него код стандардне нормалне расподеле (неопходно је тестирање</w:t>
      </w:r>
      <w:r w:rsidR="003D4C13">
        <w:rPr>
          <w:lang w:val="sr-Cyrl-CS"/>
        </w:rPr>
        <w:t xml:space="preserve"> екстрмних догађаја, јер се аналитички метод ослања на нормалну расподелу)</w:t>
      </w:r>
      <w:r>
        <w:rPr>
          <w:lang w:val="sr-Cyrl-CS"/>
        </w:rPr>
        <w:t>. Што се тиче портфолиа, због централно</w:t>
      </w:r>
      <w:r w:rsidR="003D4C13">
        <w:rPr>
          <w:lang w:val="sr-Cyrl-CS"/>
        </w:rPr>
        <w:t xml:space="preserve"> </w:t>
      </w:r>
      <w:r>
        <w:rPr>
          <w:lang w:val="sr-Cyrl-CS"/>
        </w:rPr>
        <w:t xml:space="preserve">граничне теореме принос портфолиа конвергира ка нормалној расподели, без обзира на расподелу приноса чинилаца портфолиа. </w:t>
      </w:r>
      <w:r w:rsidR="003D4C13">
        <w:rPr>
          <w:lang w:val="sr-Cyrl-CS"/>
        </w:rPr>
        <w:t>Такође, овај метод предпоставља стабилну корелацију (није прикладан за нелинеарне инструменте) и његова примена није препоручљива у кризним ситуацијама на тржишту.</w:t>
      </w:r>
    </w:p>
    <w:p w:rsidR="0089388C" w:rsidRDefault="0089388C" w:rsidP="007E1608">
      <w:pPr>
        <w:rPr>
          <w:lang w:val="sr-Latn-CS"/>
        </w:rPr>
      </w:pPr>
    </w:p>
    <w:p w:rsidR="0089388C" w:rsidRDefault="0089388C" w:rsidP="007E1608">
      <w:pPr>
        <w:rPr>
          <w:lang w:val="sr-Cyrl-CS"/>
        </w:rPr>
      </w:pPr>
    </w:p>
    <w:p w:rsidR="00114785" w:rsidRDefault="00114785" w:rsidP="007E1608">
      <w:pPr>
        <w:rPr>
          <w:lang w:val="sr-Cyrl-CS"/>
        </w:rPr>
      </w:pPr>
    </w:p>
    <w:p w:rsidR="00557049" w:rsidRDefault="00557049" w:rsidP="007E1608">
      <w:pPr>
        <w:rPr>
          <w:lang w:val="sr-Cyrl-CS"/>
        </w:rPr>
      </w:pPr>
    </w:p>
    <w:p w:rsidR="00557049" w:rsidRDefault="00557049" w:rsidP="007E1608">
      <w:pPr>
        <w:rPr>
          <w:lang w:val="sr-Cyrl-CS"/>
        </w:rPr>
      </w:pPr>
    </w:p>
    <w:p w:rsidR="00557049" w:rsidRDefault="00557049" w:rsidP="007E1608">
      <w:pPr>
        <w:rPr>
          <w:lang w:val="sr-Cyrl-CS"/>
        </w:rPr>
      </w:pPr>
    </w:p>
    <w:p w:rsidR="00557049" w:rsidRDefault="00557049" w:rsidP="007E1608">
      <w:pPr>
        <w:rPr>
          <w:lang w:val="sr-Cyrl-CS"/>
        </w:rPr>
      </w:pPr>
    </w:p>
    <w:p w:rsidR="00557049" w:rsidRDefault="00557049" w:rsidP="007E1608">
      <w:pPr>
        <w:rPr>
          <w:lang w:val="sr-Cyrl-CS"/>
        </w:rPr>
      </w:pPr>
    </w:p>
    <w:p w:rsidR="00557049" w:rsidRDefault="00557049" w:rsidP="007E1608">
      <w:pPr>
        <w:rPr>
          <w:lang w:val="sr-Cyrl-CS"/>
        </w:rPr>
      </w:pPr>
    </w:p>
    <w:p w:rsidR="00557049" w:rsidRDefault="00557049" w:rsidP="007E1608">
      <w:pPr>
        <w:rPr>
          <w:lang w:val="sr-Cyrl-CS"/>
        </w:rPr>
      </w:pPr>
    </w:p>
    <w:p w:rsidR="00557049" w:rsidRDefault="00557049" w:rsidP="007E1608">
      <w:pPr>
        <w:rPr>
          <w:lang w:val="sr-Cyrl-CS"/>
        </w:rPr>
      </w:pPr>
    </w:p>
    <w:p w:rsidR="00557049" w:rsidRDefault="00557049" w:rsidP="007E1608">
      <w:pPr>
        <w:rPr>
          <w:lang w:val="sr-Cyrl-CS"/>
        </w:rPr>
      </w:pPr>
    </w:p>
    <w:p w:rsidR="00557049" w:rsidRDefault="00557049" w:rsidP="007E1608">
      <w:pPr>
        <w:rPr>
          <w:lang w:val="sr-Cyrl-CS"/>
        </w:rPr>
      </w:pPr>
    </w:p>
    <w:p w:rsidR="00557049" w:rsidRDefault="00557049" w:rsidP="007E1608">
      <w:pPr>
        <w:rPr>
          <w:lang w:val="sr-Cyrl-CS"/>
        </w:rPr>
      </w:pPr>
    </w:p>
    <w:sectPr w:rsidR="00557049" w:rsidSect="00823378">
      <w:pgSz w:w="12240" w:h="15840"/>
      <w:pgMar w:top="1440" w:right="1325"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65A" w:rsidRDefault="00F4765A" w:rsidP="000A5E9D">
      <w:r>
        <w:separator/>
      </w:r>
    </w:p>
  </w:endnote>
  <w:endnote w:type="continuationSeparator" w:id="1">
    <w:p w:rsidR="00F4765A" w:rsidRDefault="00F4765A" w:rsidP="000A5E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65A" w:rsidRDefault="00F4765A" w:rsidP="000A5E9D">
      <w:r>
        <w:separator/>
      </w:r>
    </w:p>
  </w:footnote>
  <w:footnote w:type="continuationSeparator" w:id="1">
    <w:p w:rsidR="00F4765A" w:rsidRDefault="00F4765A" w:rsidP="000A5E9D">
      <w:r>
        <w:continuationSeparator/>
      </w:r>
    </w:p>
  </w:footnote>
  <w:footnote w:id="2">
    <w:p w:rsidR="00D105CD" w:rsidRPr="00D105CD" w:rsidRDefault="00D105CD">
      <w:pPr>
        <w:pStyle w:val="FootnoteText"/>
        <w:rPr>
          <w:lang w:val="sr-Cyrl-CS"/>
        </w:rPr>
      </w:pPr>
      <w:r>
        <w:rPr>
          <w:rStyle w:val="FootnoteReference"/>
        </w:rPr>
        <w:footnoteRef/>
      </w:r>
      <w:r>
        <w:t xml:space="preserve"> </w:t>
      </w:r>
      <w:r>
        <w:rPr>
          <w:lang w:val="sr-Cyrl-CS"/>
        </w:rPr>
        <w:t>Приноси се рачунају на основу промена цена (ХПР).</w:t>
      </w:r>
    </w:p>
  </w:footnote>
  <w:footnote w:id="3">
    <w:p w:rsidR="000A5E9D" w:rsidRPr="00B13134" w:rsidRDefault="000A5E9D" w:rsidP="00B13134">
      <w:pPr>
        <w:pStyle w:val="FootnoteText"/>
        <w:ind w:left="709"/>
        <w:rPr>
          <w:sz w:val="18"/>
          <w:szCs w:val="18"/>
          <w:lang w:val="sr-Cyrl-CS"/>
        </w:rPr>
      </w:pPr>
      <w:r w:rsidRPr="00B13134">
        <w:rPr>
          <w:rStyle w:val="FootnoteReference"/>
          <w:sz w:val="18"/>
          <w:szCs w:val="18"/>
        </w:rPr>
        <w:footnoteRef/>
      </w:r>
      <w:r w:rsidRPr="00B13134">
        <w:rPr>
          <w:sz w:val="18"/>
          <w:szCs w:val="18"/>
        </w:rPr>
        <w:t xml:space="preserve"> </w:t>
      </w:r>
      <w:r w:rsidR="003A17EB" w:rsidRPr="00B13134">
        <w:rPr>
          <w:sz w:val="18"/>
          <w:szCs w:val="18"/>
          <w:lang w:val="sr-Cyrl-CS"/>
        </w:rPr>
        <w:t>М. Цветиновић (2008)</w:t>
      </w:r>
    </w:p>
  </w:footnote>
  <w:footnote w:id="4">
    <w:p w:rsidR="00B13134" w:rsidRPr="00B13134" w:rsidRDefault="00B13134" w:rsidP="00B13134">
      <w:pPr>
        <w:pStyle w:val="Default"/>
        <w:ind w:left="709" w:hanging="357"/>
      </w:pPr>
      <w:r w:rsidRPr="00B13134">
        <w:rPr>
          <w:rStyle w:val="FootnoteReference"/>
          <w:sz w:val="18"/>
          <w:szCs w:val="18"/>
        </w:rPr>
        <w:footnoteRef/>
      </w:r>
      <w:r w:rsidRPr="00B13134">
        <w:rPr>
          <w:sz w:val="18"/>
          <w:szCs w:val="18"/>
        </w:rPr>
        <w:t xml:space="preserve"> </w:t>
      </w:r>
      <w:proofErr w:type="spellStart"/>
      <w:proofErr w:type="gramStart"/>
      <w:r w:rsidRPr="00B13134">
        <w:rPr>
          <w:sz w:val="18"/>
          <w:szCs w:val="18"/>
        </w:rPr>
        <w:t>Choudhry</w:t>
      </w:r>
      <w:proofErr w:type="spellEnd"/>
      <w:r w:rsidRPr="00B13134">
        <w:rPr>
          <w:sz w:val="18"/>
          <w:szCs w:val="18"/>
        </w:rPr>
        <w:t>, M.</w:t>
      </w:r>
      <w:r w:rsidRPr="00B13134">
        <w:rPr>
          <w:sz w:val="18"/>
          <w:szCs w:val="18"/>
          <w:lang w:val="sr-Cyrl-CS"/>
        </w:rPr>
        <w:t xml:space="preserve"> (</w:t>
      </w:r>
      <w:r w:rsidRPr="00B13134">
        <w:rPr>
          <w:sz w:val="18"/>
          <w:szCs w:val="18"/>
        </w:rPr>
        <w:t>2006</w:t>
      </w:r>
      <w:r w:rsidRPr="00B13134">
        <w:rPr>
          <w:sz w:val="18"/>
          <w:szCs w:val="18"/>
          <w:lang w:val="sr-Cyrl-CS"/>
        </w:rPr>
        <w:t>)</w:t>
      </w:r>
      <w:r w:rsidRPr="00B13134">
        <w:rPr>
          <w:sz w:val="18"/>
          <w:szCs w:val="18"/>
        </w:rPr>
        <w:t>.</w:t>
      </w:r>
      <w:proofErr w:type="gramEnd"/>
      <w:r w:rsidRPr="00B13134">
        <w:rPr>
          <w:sz w:val="18"/>
          <w:szCs w:val="18"/>
        </w:rPr>
        <w:t xml:space="preserve"> </w:t>
      </w:r>
      <w:proofErr w:type="gramStart"/>
      <w:r w:rsidRPr="00B13134">
        <w:rPr>
          <w:i/>
          <w:iCs/>
          <w:sz w:val="18"/>
          <w:szCs w:val="18"/>
        </w:rPr>
        <w:t>An Introduction to Value-at-Risk</w:t>
      </w:r>
      <w:r w:rsidRPr="00B13134">
        <w:rPr>
          <w:sz w:val="18"/>
          <w:szCs w:val="18"/>
        </w:rPr>
        <w:t>.</w:t>
      </w:r>
      <w:proofErr w:type="gramEnd"/>
      <w:r w:rsidRPr="00B13134">
        <w:rPr>
          <w:sz w:val="18"/>
          <w:szCs w:val="18"/>
        </w:rPr>
        <w:t xml:space="preserve"> </w:t>
      </w:r>
      <w:proofErr w:type="spellStart"/>
      <w:r w:rsidRPr="00B13134">
        <w:rPr>
          <w:sz w:val="18"/>
          <w:szCs w:val="18"/>
        </w:rPr>
        <w:t>Chichester</w:t>
      </w:r>
      <w:proofErr w:type="spellEnd"/>
      <w:r w:rsidRPr="00B13134">
        <w:rPr>
          <w:sz w:val="18"/>
          <w:szCs w:val="18"/>
        </w:rPr>
        <w:t>: John Wiley &amp; Sons, Ltd</w:t>
      </w:r>
      <w:r>
        <w:rPr>
          <w:sz w:val="23"/>
          <w:szCs w:val="23"/>
        </w:rPr>
        <w:t xml:space="preserve">. </w:t>
      </w:r>
    </w:p>
    <w:p w:rsidR="00B13134" w:rsidRPr="00B13134" w:rsidRDefault="00B13134">
      <w:pPr>
        <w:pStyle w:val="FootnoteText"/>
        <w:rPr>
          <w:lang w:val="sr-Cyrl-C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81704"/>
    <w:multiLevelType w:val="hybridMultilevel"/>
    <w:tmpl w:val="432AF93A"/>
    <w:lvl w:ilvl="0" w:tplc="0409000F">
      <w:start w:val="1"/>
      <w:numFmt w:val="decimal"/>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1">
    <w:nsid w:val="1F5C401D"/>
    <w:multiLevelType w:val="multilevel"/>
    <w:tmpl w:val="B94E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CD5FE7"/>
    <w:multiLevelType w:val="hybridMultilevel"/>
    <w:tmpl w:val="3EA0D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4356D5"/>
    <w:multiLevelType w:val="hybridMultilevel"/>
    <w:tmpl w:val="EEB05C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A400D2"/>
    <w:multiLevelType w:val="hybridMultilevel"/>
    <w:tmpl w:val="26A85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281450"/>
    <w:multiLevelType w:val="hybridMultilevel"/>
    <w:tmpl w:val="082AB062"/>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6">
    <w:nsid w:val="6BF85666"/>
    <w:multiLevelType w:val="hybridMultilevel"/>
    <w:tmpl w:val="AB709964"/>
    <w:lvl w:ilvl="0" w:tplc="0409000F">
      <w:start w:val="1"/>
      <w:numFmt w:val="decimal"/>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7">
    <w:nsid w:val="77F8351E"/>
    <w:multiLevelType w:val="hybridMultilevel"/>
    <w:tmpl w:val="12ACB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340FE3"/>
    <w:multiLevelType w:val="hybridMultilevel"/>
    <w:tmpl w:val="74DED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6"/>
  </w:num>
  <w:num w:numId="6">
    <w:abstractNumId w:val="5"/>
  </w:num>
  <w:num w:numId="7">
    <w:abstractNumId w:val="8"/>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0"/>
    <w:footnote w:id="1"/>
  </w:footnotePr>
  <w:endnotePr>
    <w:endnote w:id="0"/>
    <w:endnote w:id="1"/>
  </w:endnotePr>
  <w:compat/>
  <w:rsids>
    <w:rsidRoot w:val="002B332E"/>
    <w:rsid w:val="00000A4D"/>
    <w:rsid w:val="0000515F"/>
    <w:rsid w:val="000173E0"/>
    <w:rsid w:val="00022617"/>
    <w:rsid w:val="0002284C"/>
    <w:rsid w:val="00034AD9"/>
    <w:rsid w:val="000465DB"/>
    <w:rsid w:val="000A55DE"/>
    <w:rsid w:val="000A5E9D"/>
    <w:rsid w:val="000C3FDB"/>
    <w:rsid w:val="000D2768"/>
    <w:rsid w:val="001078A7"/>
    <w:rsid w:val="00114785"/>
    <w:rsid w:val="0011506D"/>
    <w:rsid w:val="0012161B"/>
    <w:rsid w:val="00144D45"/>
    <w:rsid w:val="00170A17"/>
    <w:rsid w:val="001D6605"/>
    <w:rsid w:val="001D6DDD"/>
    <w:rsid w:val="001F31D6"/>
    <w:rsid w:val="00207F3F"/>
    <w:rsid w:val="00211A23"/>
    <w:rsid w:val="002245DA"/>
    <w:rsid w:val="0023346C"/>
    <w:rsid w:val="00233B2F"/>
    <w:rsid w:val="0026733F"/>
    <w:rsid w:val="002679B7"/>
    <w:rsid w:val="00277A47"/>
    <w:rsid w:val="002831F5"/>
    <w:rsid w:val="00287DBE"/>
    <w:rsid w:val="002B332E"/>
    <w:rsid w:val="002E6151"/>
    <w:rsid w:val="002E6CDD"/>
    <w:rsid w:val="002F1D1B"/>
    <w:rsid w:val="002F4D4D"/>
    <w:rsid w:val="002F5463"/>
    <w:rsid w:val="0032017F"/>
    <w:rsid w:val="00353006"/>
    <w:rsid w:val="00354C51"/>
    <w:rsid w:val="00356F1E"/>
    <w:rsid w:val="003830CD"/>
    <w:rsid w:val="003A1379"/>
    <w:rsid w:val="003A17EB"/>
    <w:rsid w:val="003A189C"/>
    <w:rsid w:val="003B4B32"/>
    <w:rsid w:val="003D4C13"/>
    <w:rsid w:val="003D77FC"/>
    <w:rsid w:val="003F7C35"/>
    <w:rsid w:val="004029C9"/>
    <w:rsid w:val="004104DC"/>
    <w:rsid w:val="00467D41"/>
    <w:rsid w:val="00477141"/>
    <w:rsid w:val="004836C2"/>
    <w:rsid w:val="004A2797"/>
    <w:rsid w:val="004C175C"/>
    <w:rsid w:val="004E766E"/>
    <w:rsid w:val="004F254E"/>
    <w:rsid w:val="004F34D5"/>
    <w:rsid w:val="00504C1C"/>
    <w:rsid w:val="005068F2"/>
    <w:rsid w:val="00521C9D"/>
    <w:rsid w:val="00534A71"/>
    <w:rsid w:val="00541BB2"/>
    <w:rsid w:val="00542C7E"/>
    <w:rsid w:val="00545A93"/>
    <w:rsid w:val="00552889"/>
    <w:rsid w:val="00553989"/>
    <w:rsid w:val="005545A1"/>
    <w:rsid w:val="00557049"/>
    <w:rsid w:val="00557729"/>
    <w:rsid w:val="00560862"/>
    <w:rsid w:val="0056167B"/>
    <w:rsid w:val="0056795D"/>
    <w:rsid w:val="00567F81"/>
    <w:rsid w:val="00580A03"/>
    <w:rsid w:val="00595C20"/>
    <w:rsid w:val="005A06AB"/>
    <w:rsid w:val="005A6986"/>
    <w:rsid w:val="005D3E62"/>
    <w:rsid w:val="005F09A5"/>
    <w:rsid w:val="00615905"/>
    <w:rsid w:val="00662F58"/>
    <w:rsid w:val="006E593B"/>
    <w:rsid w:val="006E7D00"/>
    <w:rsid w:val="006F0B91"/>
    <w:rsid w:val="006F4BBE"/>
    <w:rsid w:val="00742C53"/>
    <w:rsid w:val="00742F39"/>
    <w:rsid w:val="00755FFC"/>
    <w:rsid w:val="007833F9"/>
    <w:rsid w:val="007B4EA1"/>
    <w:rsid w:val="007B52DA"/>
    <w:rsid w:val="007B7F78"/>
    <w:rsid w:val="007C3B73"/>
    <w:rsid w:val="007C6369"/>
    <w:rsid w:val="007D2434"/>
    <w:rsid w:val="007E1608"/>
    <w:rsid w:val="00810CD1"/>
    <w:rsid w:val="00823378"/>
    <w:rsid w:val="008267D4"/>
    <w:rsid w:val="00863A09"/>
    <w:rsid w:val="0089388C"/>
    <w:rsid w:val="00897506"/>
    <w:rsid w:val="008C2F64"/>
    <w:rsid w:val="008D52AA"/>
    <w:rsid w:val="008D7AB9"/>
    <w:rsid w:val="00914B72"/>
    <w:rsid w:val="00934018"/>
    <w:rsid w:val="009605C8"/>
    <w:rsid w:val="00965228"/>
    <w:rsid w:val="00982596"/>
    <w:rsid w:val="00983FA4"/>
    <w:rsid w:val="0099160A"/>
    <w:rsid w:val="00997B07"/>
    <w:rsid w:val="009A108A"/>
    <w:rsid w:val="009A4C11"/>
    <w:rsid w:val="009D6ADC"/>
    <w:rsid w:val="009E3A2B"/>
    <w:rsid w:val="00A42253"/>
    <w:rsid w:val="00A502D1"/>
    <w:rsid w:val="00A57E70"/>
    <w:rsid w:val="00A65BFC"/>
    <w:rsid w:val="00A83857"/>
    <w:rsid w:val="00A853CC"/>
    <w:rsid w:val="00AA74A2"/>
    <w:rsid w:val="00AB48F1"/>
    <w:rsid w:val="00AC5DAC"/>
    <w:rsid w:val="00AE518C"/>
    <w:rsid w:val="00AF3041"/>
    <w:rsid w:val="00B11E1F"/>
    <w:rsid w:val="00B13134"/>
    <w:rsid w:val="00B22CBB"/>
    <w:rsid w:val="00B357AC"/>
    <w:rsid w:val="00B55BD8"/>
    <w:rsid w:val="00B71721"/>
    <w:rsid w:val="00B82835"/>
    <w:rsid w:val="00B82E37"/>
    <w:rsid w:val="00BA1FE2"/>
    <w:rsid w:val="00BB73C5"/>
    <w:rsid w:val="00BF1D86"/>
    <w:rsid w:val="00C24470"/>
    <w:rsid w:val="00C45555"/>
    <w:rsid w:val="00C51F7E"/>
    <w:rsid w:val="00C55638"/>
    <w:rsid w:val="00C64716"/>
    <w:rsid w:val="00C757AC"/>
    <w:rsid w:val="00C77F3D"/>
    <w:rsid w:val="00C81DFC"/>
    <w:rsid w:val="00C8553C"/>
    <w:rsid w:val="00C85631"/>
    <w:rsid w:val="00C95534"/>
    <w:rsid w:val="00CB46DE"/>
    <w:rsid w:val="00D105CD"/>
    <w:rsid w:val="00D3608D"/>
    <w:rsid w:val="00D52A7E"/>
    <w:rsid w:val="00D6023C"/>
    <w:rsid w:val="00D64176"/>
    <w:rsid w:val="00D67098"/>
    <w:rsid w:val="00D94D1E"/>
    <w:rsid w:val="00DB0A71"/>
    <w:rsid w:val="00DB365E"/>
    <w:rsid w:val="00DF1BC5"/>
    <w:rsid w:val="00E12F62"/>
    <w:rsid w:val="00E63F6D"/>
    <w:rsid w:val="00EB056B"/>
    <w:rsid w:val="00EC5035"/>
    <w:rsid w:val="00EF3B6C"/>
    <w:rsid w:val="00F01E9C"/>
    <w:rsid w:val="00F24DFE"/>
    <w:rsid w:val="00F35509"/>
    <w:rsid w:val="00F43A1A"/>
    <w:rsid w:val="00F4765A"/>
    <w:rsid w:val="00F77B6C"/>
    <w:rsid w:val="00F92F33"/>
    <w:rsid w:val="00F9666F"/>
    <w:rsid w:val="00FB212E"/>
    <w:rsid w:val="00FB45DA"/>
    <w:rsid w:val="00FC200C"/>
    <w:rsid w:val="00FF6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714" w:right="-272"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89C"/>
  </w:style>
  <w:style w:type="paragraph" w:styleId="Heading3">
    <w:name w:val="heading 3"/>
    <w:basedOn w:val="Normal"/>
    <w:link w:val="Heading3Char"/>
    <w:uiPriority w:val="9"/>
    <w:qFormat/>
    <w:rsid w:val="0089388C"/>
    <w:pPr>
      <w:spacing w:before="100" w:beforeAutospacing="1" w:after="100" w:afterAutospacing="1"/>
      <w:ind w:left="0" w:right="0" w:firstLine="0"/>
      <w:jc w:val="left"/>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1F5"/>
    <w:pPr>
      <w:ind w:left="720"/>
      <w:contextualSpacing/>
    </w:pPr>
  </w:style>
  <w:style w:type="paragraph" w:styleId="BalloonText">
    <w:name w:val="Balloon Text"/>
    <w:basedOn w:val="Normal"/>
    <w:link w:val="BalloonTextChar"/>
    <w:uiPriority w:val="99"/>
    <w:semiHidden/>
    <w:unhideWhenUsed/>
    <w:rsid w:val="00AF3041"/>
    <w:rPr>
      <w:rFonts w:ascii="Tahoma" w:hAnsi="Tahoma" w:cs="Tahoma"/>
      <w:sz w:val="16"/>
      <w:szCs w:val="16"/>
    </w:rPr>
  </w:style>
  <w:style w:type="character" w:customStyle="1" w:styleId="BalloonTextChar">
    <w:name w:val="Balloon Text Char"/>
    <w:basedOn w:val="DefaultParagraphFont"/>
    <w:link w:val="BalloonText"/>
    <w:uiPriority w:val="99"/>
    <w:semiHidden/>
    <w:rsid w:val="00AF3041"/>
    <w:rPr>
      <w:rFonts w:ascii="Tahoma" w:hAnsi="Tahoma" w:cs="Tahoma"/>
      <w:sz w:val="16"/>
      <w:szCs w:val="16"/>
    </w:rPr>
  </w:style>
  <w:style w:type="character" w:customStyle="1" w:styleId="Heading3Char">
    <w:name w:val="Heading 3 Char"/>
    <w:basedOn w:val="DefaultParagraphFont"/>
    <w:link w:val="Heading3"/>
    <w:uiPriority w:val="9"/>
    <w:rsid w:val="0089388C"/>
    <w:rPr>
      <w:rFonts w:eastAsia="Times New Roman"/>
      <w:b/>
      <w:bCs/>
      <w:sz w:val="27"/>
      <w:szCs w:val="27"/>
    </w:rPr>
  </w:style>
  <w:style w:type="paragraph" w:styleId="NormalWeb">
    <w:name w:val="Normal (Web)"/>
    <w:basedOn w:val="Normal"/>
    <w:uiPriority w:val="99"/>
    <w:semiHidden/>
    <w:unhideWhenUsed/>
    <w:rsid w:val="0089388C"/>
    <w:pPr>
      <w:spacing w:before="100" w:beforeAutospacing="1" w:after="100" w:afterAutospacing="1"/>
      <w:ind w:left="0" w:right="0" w:firstLine="0"/>
      <w:jc w:val="left"/>
    </w:pPr>
    <w:rPr>
      <w:rFonts w:eastAsia="Times New Roman"/>
    </w:rPr>
  </w:style>
  <w:style w:type="character" w:styleId="Strong">
    <w:name w:val="Strong"/>
    <w:basedOn w:val="DefaultParagraphFont"/>
    <w:uiPriority w:val="22"/>
    <w:qFormat/>
    <w:rsid w:val="0089388C"/>
    <w:rPr>
      <w:b/>
      <w:bCs/>
    </w:rPr>
  </w:style>
  <w:style w:type="character" w:customStyle="1" w:styleId="apple-converted-space">
    <w:name w:val="apple-converted-space"/>
    <w:basedOn w:val="DefaultParagraphFont"/>
    <w:rsid w:val="0089388C"/>
  </w:style>
  <w:style w:type="paragraph" w:styleId="FootnoteText">
    <w:name w:val="footnote text"/>
    <w:basedOn w:val="Normal"/>
    <w:link w:val="FootnoteTextChar"/>
    <w:uiPriority w:val="99"/>
    <w:semiHidden/>
    <w:unhideWhenUsed/>
    <w:rsid w:val="000A5E9D"/>
    <w:rPr>
      <w:sz w:val="20"/>
      <w:szCs w:val="20"/>
    </w:rPr>
  </w:style>
  <w:style w:type="character" w:customStyle="1" w:styleId="FootnoteTextChar">
    <w:name w:val="Footnote Text Char"/>
    <w:basedOn w:val="DefaultParagraphFont"/>
    <w:link w:val="FootnoteText"/>
    <w:uiPriority w:val="99"/>
    <w:semiHidden/>
    <w:rsid w:val="000A5E9D"/>
    <w:rPr>
      <w:sz w:val="20"/>
      <w:szCs w:val="20"/>
    </w:rPr>
  </w:style>
  <w:style w:type="character" w:styleId="FootnoteReference">
    <w:name w:val="footnote reference"/>
    <w:basedOn w:val="DefaultParagraphFont"/>
    <w:uiPriority w:val="99"/>
    <w:semiHidden/>
    <w:unhideWhenUsed/>
    <w:rsid w:val="000A5E9D"/>
    <w:rPr>
      <w:vertAlign w:val="superscript"/>
    </w:rPr>
  </w:style>
  <w:style w:type="paragraph" w:customStyle="1" w:styleId="Default">
    <w:name w:val="Default"/>
    <w:rsid w:val="00B13134"/>
    <w:pPr>
      <w:autoSpaceDE w:val="0"/>
      <w:autoSpaceDN w:val="0"/>
      <w:adjustRightInd w:val="0"/>
      <w:ind w:left="0" w:right="0" w:firstLine="0"/>
      <w:jc w:val="left"/>
    </w:pPr>
    <w:rPr>
      <w:color w:val="000000"/>
    </w:rPr>
  </w:style>
  <w:style w:type="paragraph" w:styleId="Header">
    <w:name w:val="header"/>
    <w:basedOn w:val="Normal"/>
    <w:link w:val="HeaderChar"/>
    <w:uiPriority w:val="99"/>
    <w:semiHidden/>
    <w:unhideWhenUsed/>
    <w:rsid w:val="009A4C11"/>
    <w:pPr>
      <w:tabs>
        <w:tab w:val="center" w:pos="4680"/>
        <w:tab w:val="right" w:pos="9360"/>
      </w:tabs>
    </w:pPr>
  </w:style>
  <w:style w:type="character" w:customStyle="1" w:styleId="HeaderChar">
    <w:name w:val="Header Char"/>
    <w:basedOn w:val="DefaultParagraphFont"/>
    <w:link w:val="Header"/>
    <w:uiPriority w:val="99"/>
    <w:semiHidden/>
    <w:rsid w:val="009A4C11"/>
  </w:style>
  <w:style w:type="paragraph" w:styleId="Footer">
    <w:name w:val="footer"/>
    <w:basedOn w:val="Normal"/>
    <w:link w:val="FooterChar"/>
    <w:uiPriority w:val="99"/>
    <w:semiHidden/>
    <w:unhideWhenUsed/>
    <w:rsid w:val="009A4C11"/>
    <w:pPr>
      <w:tabs>
        <w:tab w:val="center" w:pos="4680"/>
        <w:tab w:val="right" w:pos="9360"/>
      </w:tabs>
    </w:pPr>
  </w:style>
  <w:style w:type="character" w:customStyle="1" w:styleId="FooterChar">
    <w:name w:val="Footer Char"/>
    <w:basedOn w:val="DefaultParagraphFont"/>
    <w:link w:val="Footer"/>
    <w:uiPriority w:val="99"/>
    <w:semiHidden/>
    <w:rsid w:val="009A4C11"/>
  </w:style>
  <w:style w:type="table" w:styleId="TableGrid">
    <w:name w:val="Table Grid"/>
    <w:basedOn w:val="TableNormal"/>
    <w:uiPriority w:val="59"/>
    <w:rsid w:val="005608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1721"/>
    <w:rPr>
      <w:color w:val="808080"/>
    </w:rPr>
  </w:style>
</w:styles>
</file>

<file path=word/webSettings.xml><?xml version="1.0" encoding="utf-8"?>
<w:webSettings xmlns:r="http://schemas.openxmlformats.org/officeDocument/2006/relationships" xmlns:w="http://schemas.openxmlformats.org/wordprocessingml/2006/main">
  <w:divs>
    <w:div w:id="173543142">
      <w:bodyDiv w:val="1"/>
      <w:marLeft w:val="0"/>
      <w:marRight w:val="0"/>
      <w:marTop w:val="0"/>
      <w:marBottom w:val="0"/>
      <w:divBdr>
        <w:top w:val="none" w:sz="0" w:space="0" w:color="auto"/>
        <w:left w:val="none" w:sz="0" w:space="0" w:color="auto"/>
        <w:bottom w:val="none" w:sz="0" w:space="0" w:color="auto"/>
        <w:right w:val="none" w:sz="0" w:space="0" w:color="auto"/>
      </w:divBdr>
    </w:div>
    <w:div w:id="184617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755AC-7370-442F-8BCB-5A13E5BDC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2150</TotalTime>
  <Pages>7</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Željko</dc:creator>
  <cp:keywords/>
  <dc:description/>
  <cp:lastModifiedBy>Željko</cp:lastModifiedBy>
  <cp:revision>128</cp:revision>
  <dcterms:created xsi:type="dcterms:W3CDTF">2017-10-24T20:05:00Z</dcterms:created>
  <dcterms:modified xsi:type="dcterms:W3CDTF">2019-04-09T13:25:00Z</dcterms:modified>
</cp:coreProperties>
</file>