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Horizontalna i vertiklna analiza</w:t>
      </w:r>
      <w:bookmarkStart w:id="0" w:name="_GoBack"/>
      <w:bookmarkEnd w:id="0"/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6536"/>
        <w:gridCol w:w="1843"/>
        <w:gridCol w:w="1701"/>
        <w:gridCol w:w="960"/>
        <w:gridCol w:w="960"/>
        <w:gridCol w:w="960"/>
      </w:tblGrid>
      <w:tr w:rsidR="002610C1" w:rsidRPr="00601A7F" w:rsidTr="00F30C08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2610C1" w:rsidRPr="00601A7F" w:rsidTr="00F30C08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 AKTIVA=POSLOVNA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6.898.684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7.845.497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UPISAN A NEUPLAĆEN KAPITAL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STALNA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2.702.784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3.820.284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Nematerijalna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15.632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607.033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38,83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Nekretnine , postrojenja i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1.992.644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2.332.497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Biološka sredstva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Dugoročni finansijki plasmani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694.508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880.754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 potraživanja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ODLOŽENA PORESKA SREDSTVA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21.623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OBRTNA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4.164.853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4.003.590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1.530.571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1.776.779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 po osnovu prodaje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669.654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604.662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 iz specifičnih poslova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Druga potraživanja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5.908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Finansijska sredstva koja se vrednuju po fer vrednosti kroz bilans uspeha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Kratkoročni finansijki plasmani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1.850.433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1.526.255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Gotovinski ekvivalent i gotovina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18.483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Porez na dodatu vrednost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58.069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40.974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2610C1" w:rsidRPr="00601A7F" w:rsidTr="00F30C0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Aktivna vremenska razgraničenja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27.768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  <w:gridCol w:w="1701"/>
        <w:gridCol w:w="960"/>
        <w:gridCol w:w="960"/>
        <w:gridCol w:w="960"/>
      </w:tblGrid>
      <w:tr w:rsidR="002610C1" w:rsidRPr="00601A7F" w:rsidTr="00F30C08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PASIVA: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 PASIVA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6.898.684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7.845.497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5.902.813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6.529.071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Osnovni kapital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1.217.288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1.217.288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Upisani a neuplaćeni kapital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Otkupljene sopstevne akcije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117.116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117.116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677.528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677.528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Revalorizacione rezerve po osnovu revalorizacije nematerijalne imovine, nekretnina, postrojenja i opeme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Nerealizovani dobici po osnovu hartija od vrednosti drugih komponenti ostalog sveobuhvatnog rezultata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Nerealizovani gubici po osnovu hartija od vrednosti drugih komponenti ostalog sveobuhvatnog rezultata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50.478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28.127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Nerasporedjeni dobitak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4.175.591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4.779.498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Učešće bez prava kontrole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Gubitak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 REZERVISANJA I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64.649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137.152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 rezervisanja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64.649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137.152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ODLOŽENE PORESKE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931.222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1.179.274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Kratkoročne finansijske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Primljeni avansi, depoziti i kaucije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69.299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45.711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 iz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732.934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966.244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Ostale kratkoročne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86.468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 po osnovu poreza na dodatu vrednost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 za ostale poreze, doprinose i druge dažbine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62.678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2610C1" w:rsidRPr="00601A7F" w:rsidTr="00F30C08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Pasivna vremenska razgraničenja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01A7F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01A7F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1,92</w:t>
            </w:r>
          </w:p>
        </w:tc>
      </w:tr>
    </w:tbl>
    <w:p w:rsidR="002610C1" w:rsidRDefault="002610C1" w:rsidP="002610C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610C1" w:rsidRDefault="002610C1" w:rsidP="002610C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610C1" w:rsidRDefault="002610C1" w:rsidP="002610C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610C1" w:rsidRPr="00A51B70" w:rsidRDefault="002610C1" w:rsidP="002610C1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Horizontalna i vertikalna analiza bilansa stanja</w:t>
      </w:r>
    </w:p>
    <w:p w:rsidR="002610C1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610C1">
        <w:rPr>
          <w:rFonts w:ascii="Times New Roman" w:hAnsi="Times New Roman" w:cs="Times New Roman"/>
          <w:b/>
          <w:sz w:val="28"/>
          <w:szCs w:val="28"/>
          <w:lang w:val="sr-Latn-RS"/>
        </w:rPr>
        <w:t>Struktura</w:t>
      </w:r>
      <w:r w:rsidRPr="00A51B70">
        <w:rPr>
          <w:rFonts w:ascii="Times New Roman" w:hAnsi="Times New Roman" w:cs="Times New Roman"/>
          <w:sz w:val="28"/>
          <w:szCs w:val="28"/>
          <w:lang w:val="sr-Latn-RS"/>
        </w:rPr>
        <w:t xml:space="preserve"> bilansa pokazuje koliko jedna bilansna pozicija učestvuje u ukupnoj aktivi ili pasivi. Struktura se izračunava stavljanjem u odnos vrednosti bilansne pozicije prema zbiru aktive ili pasive. </w:t>
      </w:r>
      <w:r w:rsidRPr="002610C1">
        <w:rPr>
          <w:rFonts w:ascii="Times New Roman" w:hAnsi="Times New Roman" w:cs="Times New Roman"/>
          <w:b/>
          <w:sz w:val="28"/>
          <w:szCs w:val="28"/>
          <w:lang w:val="sr-Latn-RS"/>
        </w:rPr>
        <w:t>Bazni indeks</w:t>
      </w:r>
      <w:r w:rsidRPr="00A51B70">
        <w:rPr>
          <w:rFonts w:ascii="Times New Roman" w:hAnsi="Times New Roman" w:cs="Times New Roman"/>
          <w:sz w:val="28"/>
          <w:szCs w:val="28"/>
          <w:lang w:val="sr-Latn-RS"/>
        </w:rPr>
        <w:t xml:space="preserve"> izražava relativni odnos između nivoa jedne pojave u više vremenskih perioda u odnosu na nivo te iste pojave u baznom periodu. Vrednosti indeksa pokazuju pre svega dinamičko kretanje pojave.</w:t>
      </w:r>
    </w:p>
    <w:p w:rsidR="002610C1" w:rsidRPr="00A51B70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610C1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 xml:space="preserve">U strukturi imovine bilansa stanja obrtna imovina ima preovlađujuće učešće. Dinamički posmatrano učešće obrtne imovine je manje u 2015. u odnosu na 2014.godinu (60,37% u 2014. i 51,03% u 2015. godini). Dominantno učešće obrtne imovine pokazuje da je reč o tipičnom proizvodnom preduzeću. U strukturi obrtne imovine, u 2014 godini najveće učešće pripada kratkoročnim finansijskim plasmanima, koji se u 2015.godini smanjuju za 18% i gube primat u strukturi obrtne imovine. U 2015. godini najveće učešće pripada zalihama 22,65% koje su se realno povećale za 16%, dok se njihovo učešće u strukturi obrtne imovine nije značano promenilo. Držanje visokih zaliha može da stvori probleme sa aspekta upravljanja likvidnošću preduzeća, jer  posle odrđenog perioda one postaju zastarele, i oštećene u vidu kala, rastura, loma ili škarta. Potraživanja po osnovu prodaje su se u 2015.godini smanjila za 10%.U strukturi osnovnih sredstava najveće učešće pripada nekretninama postojenjima i opremi (28,88% i 29,73% u 2014. i 2015.godini). Dugoročni finansijski plasmani učestvuju sa 10,07% u 2014. i 11,23% u 2015.godini u ukupnoj sumi stalne imovine. Pozicija nematerijalna ulaganja beleže značajan rast u 2015.godini (388.3%).  </w:t>
      </w:r>
    </w:p>
    <w:p w:rsidR="002610C1" w:rsidRPr="00A51B70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610C1" w:rsidRPr="00A51B70" w:rsidRDefault="002610C1" w:rsidP="0026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>U strukturi ukupne pasive učešće kapitala (sopstvenih izvora finansiranja) je daleko veće od učešća obaveza (tuđih izvora finansiranja) i to 85,56% u 2014. i 83,22% u 2015.godini. Smanjenje učešća kapitala je uslovljeno povećanjem kratkoročnih obaveza. U strukturi kapitala dominantno učešće pripada poziciji neraspoređene dobiti, čak 60,53% u 2014. i 60,92% u 2015.godini. Neraspoređena dobit se formira na osnovu neto dobiti preduzeća i služi za akumulaciju i isplatu dividendi vlasnicima kapitala. Treba ispitati i u kojim iznosima su isplaćene dividende u dinamici i u kojoj meri je to uticalo na smanjenje neraspoređene dobiti. U strukturi dugoročnih rezervisanja i obaveza postoje samo dugoročna rezervisanja koja beleže rast za 212% u 2015.godini, dok preduzeće nema dugoročnih obaveza. U strukturi kratkoročnih obaveza najveće učešće zauzimaju obaveze iz poslovanja, koja beleže i rast od 32%. Iako su se kratkoročne finansijske obaveze povećale za 30% u strukturi obrtne imovine se nisu promenile i čine zanemarljiv deo 0,02%.</w:t>
      </w:r>
    </w:p>
    <w:p w:rsidR="002610C1" w:rsidRDefault="002610C1" w:rsidP="002610C1"/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0C1" w:rsidRDefault="002610C1">
      <w:pPr>
        <w:rPr>
          <w:rFonts w:ascii="Times New Roman" w:hAnsi="Times New Roman" w:cs="Times New Roman"/>
          <w:b/>
          <w:sz w:val="28"/>
          <w:szCs w:val="28"/>
        </w:rPr>
      </w:pPr>
    </w:p>
    <w:p w:rsidR="00BE34D1" w:rsidRPr="008C3225" w:rsidRDefault="006F50E9">
      <w:pPr>
        <w:rPr>
          <w:rFonts w:ascii="Times New Roman" w:hAnsi="Times New Roman" w:cs="Times New Roman"/>
          <w:b/>
          <w:sz w:val="28"/>
          <w:szCs w:val="28"/>
        </w:rPr>
      </w:pPr>
      <w:r w:rsidRPr="008C3225">
        <w:rPr>
          <w:rFonts w:ascii="Times New Roman" w:hAnsi="Times New Roman" w:cs="Times New Roman"/>
          <w:b/>
          <w:sz w:val="28"/>
          <w:szCs w:val="28"/>
        </w:rPr>
        <w:t>Struktura</w:t>
      </w:r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i</w:t>
      </w:r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raspored</w:t>
      </w:r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ukupnog</w:t>
      </w:r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prihoda</w:t>
      </w:r>
    </w:p>
    <w:tbl>
      <w:tblPr>
        <w:tblpPr w:leftFromText="180" w:rightFromText="180" w:vertAnchor="page" w:horzAnchor="margin" w:tblpY="2476"/>
        <w:tblW w:w="12960" w:type="dxa"/>
        <w:tblLook w:val="04A0" w:firstRow="1" w:lastRow="0" w:firstColumn="1" w:lastColumn="0" w:noHBand="0" w:noVBand="1"/>
      </w:tblPr>
      <w:tblGrid>
        <w:gridCol w:w="6487"/>
        <w:gridCol w:w="1559"/>
        <w:gridCol w:w="1488"/>
        <w:gridCol w:w="1158"/>
        <w:gridCol w:w="1158"/>
        <w:gridCol w:w="1110"/>
      </w:tblGrid>
      <w:tr w:rsidR="002610C1" w:rsidRPr="006F50E9" w:rsidTr="00F30C08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 I RASHODI: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31.12.2015.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 % 2014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 % 2015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Indeks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1. POSLOVNI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4,637,068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5,263,688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94.32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96.40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1.135133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2. FINANSIJSKI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221,458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129,139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0.583131</w:t>
            </w:r>
          </w:p>
        </w:tc>
      </w:tr>
      <w:tr w:rsidR="002610C1" w:rsidRPr="006F50E9" w:rsidTr="00F30C08">
        <w:trPr>
          <w:trHeight w:val="6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3. PRIHODI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24,673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36,236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1.46865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4.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32,906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30,948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0.940497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5. UKUPNI PRIHODI 1+2+3+4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4,916,105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5,460,011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1.110638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6. POSLOVNI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3,953,858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4,628,589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80.43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84.77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1.170651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7. FINANSIJSKI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28,680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38,087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1.327999</w:t>
            </w:r>
          </w:p>
        </w:tc>
      </w:tr>
      <w:tr w:rsidR="002610C1" w:rsidRPr="006F50E9" w:rsidTr="00F30C08">
        <w:trPr>
          <w:trHeight w:val="49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8. RASHODI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130,539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9.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40,874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22,673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0.554705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10. UKUPNI RASHODI 6+7+8+9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4,153,951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4,689,349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85.89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1.128889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11. BRUTO DOBITAK 5-10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762,154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770,662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15.50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1.011163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12. POREZI I DOPRINOSI IZ DOBITKA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10C1" w:rsidRPr="006F50E9" w:rsidTr="00F30C08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Odloženi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poreski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rashodi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perioda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9,423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10C1" w:rsidRPr="006F50E9" w:rsidTr="00F30C08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Odloženi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poreski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prihodi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</w:rPr>
              <w:t>perioda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3,157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10C1" w:rsidRPr="006F50E9" w:rsidTr="00F30C08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A92CDF" w:rsidRDefault="002610C1" w:rsidP="00F30C08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13. NETO DOBIT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765,311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0C1" w:rsidRPr="006F50E9" w:rsidRDefault="002610C1" w:rsidP="00F30C0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761,239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15.57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13.94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F50E9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0.994679</w:t>
            </w:r>
          </w:p>
        </w:tc>
      </w:tr>
    </w:tbl>
    <w:p w:rsidR="00BE34D1" w:rsidRPr="00525B48" w:rsidRDefault="00BE34D1" w:rsidP="0052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48" w:rsidRDefault="00525B48" w:rsidP="0052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B48" w:rsidRPr="00D251B2" w:rsidRDefault="00525B48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1B2">
        <w:rPr>
          <w:rFonts w:ascii="Times New Roman" w:hAnsi="Times New Roman" w:cs="Times New Roman"/>
          <w:sz w:val="28"/>
          <w:szCs w:val="28"/>
        </w:rPr>
        <w:t>Struktura ukupnog prihoda pokazuje po osnovu čega je ostvaren prihod.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Tipično preduzeće treba da ima dominantan udeo (preko 90%) poslovnih prihoda u ukupnom prihodu, zbog toga što je osnovna delatnost predzeća da proizvodi i prodaje proizvode i usluge i po tom osnovu ostvaruje prihod.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U našem preduzeću u obe posmatrane godine preduzeće ima dominantan udeo poslovnih prihoda u ukupnom prihodu (u 2014.god.94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,32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%) sa tendencijom porasta u 2015.godini (96,4%), kao rezultat smanjenja udela finansijskog prihoda. 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Udeo finansijskih prihoda u ukupnom prihodu ne bi trebao da prelazi jednocifren procenat jer preduzeće nije osnovano zbog prikupljanja i plasmana kapitala i novca, što je delatnost banaka.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r w:rsidR="00386341" w:rsidRPr="00D251B2">
        <w:rPr>
          <w:rFonts w:ascii="Times New Roman" w:hAnsi="Times New Roman" w:cs="Times New Roman"/>
          <w:sz w:val="28"/>
          <w:szCs w:val="28"/>
        </w:rPr>
        <w:t xml:space="preserve">U našem preduzeću </w:t>
      </w:r>
      <w:r w:rsidR="00386341" w:rsidRPr="00D251B2">
        <w:rPr>
          <w:rFonts w:ascii="Times New Roman" w:hAnsi="Times New Roman" w:cs="Times New Roman"/>
          <w:sz w:val="28"/>
          <w:szCs w:val="28"/>
        </w:rPr>
        <w:lastRenderedPageBreak/>
        <w:t>udeo finansijskih prihoda u ukupnom prihodu u 2014.godini iznosi 4</w:t>
      </w:r>
      <w:proofErr w:type="gramStart"/>
      <w:r w:rsidR="00386341" w:rsidRPr="00D251B2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%, dok se i 2015.godini smanjio na 2,37%. </w:t>
      </w:r>
      <w:proofErr w:type="gramStart"/>
      <w:r w:rsidR="00386341" w:rsidRPr="00D251B2">
        <w:rPr>
          <w:rFonts w:ascii="Times New Roman" w:hAnsi="Times New Roman" w:cs="Times New Roman"/>
          <w:sz w:val="28"/>
          <w:szCs w:val="28"/>
        </w:rPr>
        <w:t>Finansijski prihodi su se u apsolutnom iznosu smanjili za oko 40%.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Udeo neposlovnih i vanrednih prihoda treba da bude minoran (ispod 1%), jer najveći deo neposlovnih i vanrednih prihoda potiče od neurednog </w:t>
      </w:r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poslovanja </w:t>
      </w:r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r w:rsidR="00677801" w:rsidRPr="00D251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>prihodi od viškova, ostvareni prihod u tekućoj iz prethodne godine…). U našem preduzeću ostali prihodi u 2014.godini zauzimaju 0</w:t>
      </w:r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>,67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>% ukupnog prihoda a u 2015.godini beleže manji apsolutni pad i zauzimaju oko 0,57% ukupnog prihoda. Udeo prihoda od usklađivanja vrednosti je u 2014.god.0</w:t>
      </w:r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>%, dok je u 2015.godini taj procenat povećan na 0,66%.</w:t>
      </w:r>
    </w:p>
    <w:p w:rsidR="00677801" w:rsidRPr="00D251B2" w:rsidRDefault="0067780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801" w:rsidRPr="00D251B2" w:rsidRDefault="0067780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1B2">
        <w:rPr>
          <w:rFonts w:ascii="Times New Roman" w:hAnsi="Times New Roman" w:cs="Times New Roman"/>
          <w:sz w:val="28"/>
          <w:szCs w:val="28"/>
        </w:rPr>
        <w:t>Struktura rasporeda ukupnog prihoda pokazuje opterećenje ukupnog prihoda pojedinim vrstama rashoda.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U našem preduzeću u obe posmatrane godine poslovni rashodi u najvećem procentu terete ukupan prihod (2014.god.80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,43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>%, 2015.god. 84,77%)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. Zabeležen je porast poslovnih prihoda u apsolutnom iznosu 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17%. 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Opterećenje ukupnog prihoda rashodima finansiranja je uslovljeno vlasničkom strukturom passive i visinom kamatnih stopa.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Ipak, to opterećenje ne bi trebalo da prelazi jednocifren procenat.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Finansijski rashodi su u posmatranom preduzeću na izuzetno niskom nivou (iako beleže porast od 32%) i opterećuju ukupan prihod sa 0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,58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% u 2014.god. i 0,70% u 2015.god. </w:t>
      </w:r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Opterećenje ukupnog prihoda </w:t>
      </w:r>
      <w:r w:rsidR="00DF70F6" w:rsidRPr="00D251B2">
        <w:rPr>
          <w:rFonts w:ascii="Times New Roman" w:hAnsi="Times New Roman" w:cs="Times New Roman"/>
          <w:sz w:val="28"/>
          <w:szCs w:val="28"/>
        </w:rPr>
        <w:t>neposlovni</w:t>
      </w:r>
      <w:r w:rsidR="00815675" w:rsidRPr="00D251B2">
        <w:rPr>
          <w:rFonts w:ascii="Times New Roman" w:hAnsi="Times New Roman" w:cs="Times New Roman"/>
          <w:sz w:val="28"/>
          <w:szCs w:val="28"/>
        </w:rPr>
        <w:t>m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 i vanredni</w:t>
      </w:r>
      <w:r w:rsidR="00815675" w:rsidRPr="00D251B2">
        <w:rPr>
          <w:rFonts w:ascii="Times New Roman" w:hAnsi="Times New Roman" w:cs="Times New Roman"/>
          <w:sz w:val="28"/>
          <w:szCs w:val="28"/>
        </w:rPr>
        <w:t>m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 ra</w:t>
      </w:r>
      <w:r w:rsidR="00815675" w:rsidRPr="00D251B2">
        <w:rPr>
          <w:rFonts w:ascii="Times New Roman" w:hAnsi="Times New Roman" w:cs="Times New Roman"/>
          <w:sz w:val="28"/>
          <w:szCs w:val="28"/>
        </w:rPr>
        <w:t>shodima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 ne bi trebao da prelazi 1%.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U našem preduzeću udeo ostalih rashoda je ispod 1% (0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,83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>% u 2014.god. 0,42% u 2015.god.)</w:t>
      </w:r>
      <w:r w:rsidR="00815675" w:rsidRPr="00D25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>U 2014.god.</w:t>
      </w:r>
      <w:proofErr w:type="gram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gram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ukupnog prihoda  rashodima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 od usklađi</w:t>
      </w:r>
      <w:r w:rsidR="00815675" w:rsidRPr="00D251B2">
        <w:rPr>
          <w:rFonts w:ascii="Times New Roman" w:hAnsi="Times New Roman" w:cs="Times New Roman"/>
          <w:sz w:val="28"/>
          <w:szCs w:val="28"/>
        </w:rPr>
        <w:t>vanja vrednosti iznosi 2,66%</w:t>
      </w:r>
      <w:r w:rsidR="00DF70F6" w:rsidRPr="00D251B2">
        <w:rPr>
          <w:rFonts w:ascii="Times New Roman" w:hAnsi="Times New Roman" w:cs="Times New Roman"/>
          <w:sz w:val="28"/>
          <w:szCs w:val="28"/>
        </w:rPr>
        <w:t>, dok se u 2015.godini rashodi od usklađivanja vrednosti ne pojavljuju.</w:t>
      </w:r>
    </w:p>
    <w:p w:rsidR="00815675" w:rsidRPr="00D251B2" w:rsidRDefault="00815675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25" w:rsidRDefault="00815675" w:rsidP="00D2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1B2">
        <w:rPr>
          <w:rFonts w:ascii="Times New Roman" w:hAnsi="Times New Roman" w:cs="Times New Roman"/>
          <w:sz w:val="28"/>
          <w:szCs w:val="28"/>
        </w:rPr>
        <w:t>Udeo finansijskog rezultata u ukupnom prihodu u našem preduzeću iznosi 15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,57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>% u 2014.godini i 13,94% u 2015.godini. U apsolutnom iznosu došlo je do zanemarivog smanjenja neto dobitka (1%).  U 2014.godini pojavljuje se poreski prihod perioda od 0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,06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>%, dok u 2015.godini poresko rashod perioda iznosi 0,17% ukupnog prihoda.</w:t>
      </w: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BE34D1" w:rsidRPr="008C3225" w:rsidRDefault="00BE34D1" w:rsidP="00BE34D1">
      <w:pPr>
        <w:rPr>
          <w:rFonts w:ascii="Times New Roman" w:hAnsi="Times New Roman" w:cs="Times New Roman"/>
          <w:b/>
          <w:sz w:val="28"/>
          <w:szCs w:val="28"/>
        </w:rPr>
      </w:pPr>
      <w:r w:rsidRPr="008C3225">
        <w:rPr>
          <w:rFonts w:ascii="Times New Roman" w:hAnsi="Times New Roman" w:cs="Times New Roman"/>
          <w:b/>
          <w:sz w:val="28"/>
          <w:szCs w:val="28"/>
        </w:rPr>
        <w:lastRenderedPageBreak/>
        <w:t>Struktura</w:t>
      </w:r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i</w:t>
      </w:r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raspored</w:t>
      </w:r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poslovnog</w:t>
      </w:r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prihoda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685"/>
        <w:gridCol w:w="1110"/>
        <w:gridCol w:w="1110"/>
        <w:gridCol w:w="960"/>
      </w:tblGrid>
      <w:tr w:rsidR="00A92CDF" w:rsidRPr="00A92CDF" w:rsidTr="009C136D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PRIHODI I RASHODI: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Struktura u % 2014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Struktura u % 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 Prihodi od prodaje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roba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32,028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44,594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2. Prihodi od prodaje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proizvoda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4,600,987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5,210,355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99.22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 Prihodi od premija, subvencija, dotacija, donacija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 sl.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4. Drugi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poslovni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8,739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POSLOVNI PRIHODI 1+2+3+4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4,637,068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5,263,688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6. Varijabilni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2,839,737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3,291,581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61.24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7. Bruto plate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788,772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904,194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8. Amortizacija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tr.rezervisanja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materijalne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164,647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250,724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9. Pretežno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fiksni</w:t>
            </w:r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160,702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182,090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POSLOVNI RASHODI 6+7+8+9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3,953,858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4,628,589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85.27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POSLOVNI DOBITAK 5-10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683,210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635,099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3113DC" w:rsidP="00311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strukturi poslovno prihoda treba da dominiraju prihodi od prodaje jer je to zapravo prihod koji preobraća zalihe proizvoda, robe i usluga u gotovinu bez koje preduzeće ne može da plaća </w:t>
      </w:r>
      <w:proofErr w:type="gramStart"/>
      <w:r>
        <w:rPr>
          <w:rFonts w:ascii="Times New Roman" w:hAnsi="Times New Roman" w:cs="Times New Roman"/>
          <w:sz w:val="28"/>
          <w:szCs w:val="28"/>
        </w:rPr>
        <w:t>obaveze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obezbedi opstanak.  U našem preduzeću največi procenat u strukturi poslovnog prihoda zauzima prihod od prodaje proizvoda i usluga i to u 2014.godini 99</w:t>
      </w:r>
      <w:proofErr w:type="gramStart"/>
      <w:r>
        <w:rPr>
          <w:rFonts w:ascii="Times New Roman" w:hAnsi="Times New Roman" w:cs="Times New Roman"/>
          <w:sz w:val="28"/>
          <w:szCs w:val="28"/>
        </w:rPr>
        <w:t>,22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a u 2015.godini 98,99%. Pored toga beleži se i rast ovih prihoda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13% u 2015.godini. Prihodi od prodaje roba su drugi po visini u strukturi poslovnog prihoda ali zauzimaju svega u 2014.godini 0</w:t>
      </w:r>
      <w:proofErr w:type="gramStart"/>
      <w:r>
        <w:rPr>
          <w:rFonts w:ascii="Times New Roman" w:hAnsi="Times New Roman" w:cs="Times New Roman"/>
          <w:sz w:val="28"/>
          <w:szCs w:val="28"/>
        </w:rPr>
        <w:t>,69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a u 2015.godini 0,85%. Beleže rast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39%. Drugi poslovni prihodi su zanemarivi i zauzimaju u 2014.godini 0</w:t>
      </w:r>
      <w:proofErr w:type="gramStart"/>
      <w:r>
        <w:rPr>
          <w:rFonts w:ascii="Times New Roman" w:hAnsi="Times New Roman" w:cs="Times New Roman"/>
          <w:sz w:val="28"/>
          <w:szCs w:val="28"/>
        </w:rPr>
        <w:t>,09</w:t>
      </w:r>
      <w:proofErr w:type="gramEnd"/>
      <w:r>
        <w:rPr>
          <w:rFonts w:ascii="Times New Roman" w:hAnsi="Times New Roman" w:cs="Times New Roman"/>
          <w:sz w:val="28"/>
          <w:szCs w:val="28"/>
        </w:rPr>
        <w:t>% a u 2015.godini 0,17%.</w:t>
      </w:r>
    </w:p>
    <w:p w:rsidR="003F04FB" w:rsidRDefault="007C2EC4" w:rsidP="00311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Struktura rasporeda poslovnog prihoda pokazuje opterećenje poslovnog prihoda pojedinim vrstama rashoda.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Najveće opterećenje poslovnog prihoda čine varijabilni </w:t>
      </w:r>
      <w:r w:rsidR="00BD461A">
        <w:rPr>
          <w:rFonts w:ascii="Times New Roman" w:hAnsi="Times New Roman" w:cs="Times New Roman"/>
          <w:sz w:val="28"/>
          <w:szCs w:val="28"/>
        </w:rPr>
        <w:t xml:space="preserve">materijalni </w:t>
      </w:r>
      <w:r>
        <w:rPr>
          <w:rFonts w:ascii="Times New Roman" w:hAnsi="Times New Roman" w:cs="Times New Roman"/>
          <w:sz w:val="28"/>
          <w:szCs w:val="28"/>
        </w:rPr>
        <w:t>rashodi</w:t>
      </w:r>
      <w:r w:rsidR="00BD461A">
        <w:rPr>
          <w:rFonts w:ascii="Times New Roman" w:hAnsi="Times New Roman" w:cs="Times New Roman"/>
          <w:sz w:val="28"/>
          <w:szCs w:val="28"/>
        </w:rPr>
        <w:t xml:space="preserve"> i to u 2014.godini sa 61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,24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% i u 2015.godini sa 62,53%. Varijabilni materijalni rashodi su se kretali brže 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prihoda od prodaje proizvoda i usluga (16%). 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Povećanje var.mat.rashoda može biti prouzrokovano većim fizičkim utrošcima meterijala, goriva i energije, lošijom strukturom proizvodnje učinaka, lošijim globalnim paritetom nabavnih i prodajnih cena.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Bruto plate na drugom mestu po visini opterećuju poslovni prihod, i to u 2014.godini sa 17,01% i u 2015.godini sa 17,18%, a </w:t>
      </w:r>
      <w:r w:rsidR="003F04FB">
        <w:rPr>
          <w:rFonts w:ascii="Times New Roman" w:hAnsi="Times New Roman" w:cs="Times New Roman"/>
          <w:sz w:val="28"/>
          <w:szCs w:val="28"/>
        </w:rPr>
        <w:t>beleže i apsolutno</w:t>
      </w:r>
      <w:r w:rsidR="00BD461A">
        <w:rPr>
          <w:rFonts w:ascii="Times New Roman" w:hAnsi="Times New Roman" w:cs="Times New Roman"/>
          <w:sz w:val="28"/>
          <w:szCs w:val="28"/>
        </w:rPr>
        <w:t xml:space="preserve"> povećanje od 15%. Troškovi amortizacije i rezervisanja </w:t>
      </w:r>
      <w:r w:rsidR="00BD461A">
        <w:rPr>
          <w:rFonts w:ascii="Times New Roman" w:hAnsi="Times New Roman" w:cs="Times New Roman"/>
          <w:sz w:val="28"/>
          <w:szCs w:val="28"/>
        </w:rPr>
        <w:lastRenderedPageBreak/>
        <w:t>su se povećali za 52% a opterećenje poslovnog prihoda sa ovim troškovima iznosi u 2014.godini 3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,55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% i u 2015.godini 4,76%. Opterećenje poslovnog prihoda 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sa  pretežno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fiksnim troškovima je ostalo na približno istom nivou od 3,47% u obe posmatrane godine iako </w:t>
      </w:r>
      <w:r w:rsidR="003F04FB">
        <w:rPr>
          <w:rFonts w:ascii="Times New Roman" w:hAnsi="Times New Roman" w:cs="Times New Roman"/>
          <w:sz w:val="28"/>
          <w:szCs w:val="28"/>
        </w:rPr>
        <w:t>beleže povećanje od 13%.</w:t>
      </w:r>
    </w:p>
    <w:p w:rsidR="007C2EC4" w:rsidRPr="00BE34D1" w:rsidRDefault="003F04FB" w:rsidP="00311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Udeo poslovnog dobitka u poslovnom prihodu pokazuje koji deo poslovnog prihoda otpada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poslovni dobitak. U našem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preduzeću </w:t>
      </w:r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u 2014.godini 14,73% a u 2015.godini 12,07%. U apsolutnom iznosu došlo je do smanjenja poslovnog dobitka za 7%.</w:t>
      </w:r>
    </w:p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9C136D" w:rsidRPr="00BE34D1" w:rsidRDefault="009C136D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8C3225" w:rsidRDefault="008C3225" w:rsidP="00BE34D1">
      <w:pPr>
        <w:rPr>
          <w:rFonts w:ascii="Times New Roman" w:hAnsi="Times New Roman" w:cs="Times New Roman"/>
          <w:sz w:val="28"/>
          <w:szCs w:val="28"/>
        </w:rPr>
      </w:pPr>
    </w:p>
    <w:p w:rsidR="008C3225" w:rsidRPr="00BE34D1" w:rsidRDefault="008C3225" w:rsidP="00BE34D1">
      <w:pPr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2610C1" w:rsidRDefault="002610C1" w:rsidP="00BE34D1">
      <w:pPr>
        <w:rPr>
          <w:rFonts w:ascii="Times New Roman" w:hAnsi="Times New Roman" w:cs="Times New Roman"/>
          <w:b/>
          <w:sz w:val="28"/>
          <w:szCs w:val="28"/>
        </w:rPr>
      </w:pPr>
    </w:p>
    <w:p w:rsidR="00BE34D1" w:rsidRPr="008C3225" w:rsidRDefault="009B5910" w:rsidP="00BE34D1">
      <w:pPr>
        <w:rPr>
          <w:rFonts w:ascii="Times New Roman" w:hAnsi="Times New Roman" w:cs="Times New Roman"/>
          <w:b/>
          <w:sz w:val="28"/>
          <w:szCs w:val="28"/>
        </w:rPr>
      </w:pPr>
      <w:r w:rsidRPr="008C3225">
        <w:rPr>
          <w:rFonts w:ascii="Times New Roman" w:hAnsi="Times New Roman" w:cs="Times New Roman"/>
          <w:b/>
          <w:sz w:val="28"/>
          <w:szCs w:val="28"/>
        </w:rPr>
        <w:lastRenderedPageBreak/>
        <w:t>Struktura</w:t>
      </w:r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bruto</w:t>
      </w:r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finansijskog</w:t>
      </w:r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25">
        <w:rPr>
          <w:rFonts w:ascii="Times New Roman" w:hAnsi="Times New Roman" w:cs="Times New Roman"/>
          <w:b/>
          <w:sz w:val="28"/>
          <w:szCs w:val="28"/>
        </w:rPr>
        <w:t>rezultata</w:t>
      </w:r>
    </w:p>
    <w:p w:rsidR="009B5910" w:rsidRPr="00BE34D1" w:rsidRDefault="009B5910" w:rsidP="00BE34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000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589"/>
        <w:gridCol w:w="1158"/>
        <w:gridCol w:w="1158"/>
      </w:tblGrid>
      <w:tr w:rsidR="00C00F85" w:rsidRPr="00C00F85" w:rsidTr="00C00F85">
        <w:trPr>
          <w:trHeight w:val="88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 I RASHODI: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31.12.2014.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31.12.2015.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 % 2014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 % 2015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1. POSLOVNI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4,637,068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5,263,688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2. FINANSIJSKI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221,458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129,139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6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3. PRIHODI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24,673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36,236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4.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32,906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30,948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UKUPNI PRIHODI 1+2+3+4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4,916,105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5,460,011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6. POSLOVNI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3,953,858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4,628,589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7. FINANSIJSKI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28,680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38,087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6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8. RASHODI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130,539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9.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40,874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22,673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UKUPNI RASHODI 6+7+8+9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4,153,951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4,689,349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Finansijaki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poslovnih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683,210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635,099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89.64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82.41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Finansijski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F85">
              <w:rPr>
                <w:rFonts w:ascii="Calibri" w:eastAsia="Times New Roman" w:hAnsi="Calibri" w:cs="Times New Roman"/>
                <w:color w:val="000000"/>
              </w:rPr>
              <w:t>192,778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F85">
              <w:rPr>
                <w:rFonts w:ascii="Calibri" w:eastAsia="Times New Roman" w:hAnsi="Calibri" w:cs="Times New Roman"/>
                <w:color w:val="000000"/>
              </w:rPr>
              <w:t>91,052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25.29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11.81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13. Finansijski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redovnog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875,988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726,151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114.94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94.22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14. Finansijski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neposlovnih i vanre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dnih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-113,834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44,511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-14.94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 Ukupan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bruto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</w:t>
            </w:r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762,154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770,662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Pr="00BE34D1" w:rsidRDefault="00017C9B" w:rsidP="00D1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obe posmatrane godine preduzeće je ostvarilo pozitivan finansijski rezultat iz poslovnih </w:t>
      </w:r>
      <w:proofErr w:type="gramStart"/>
      <w:r>
        <w:rPr>
          <w:rFonts w:ascii="Times New Roman" w:hAnsi="Times New Roman" w:cs="Times New Roman"/>
          <w:sz w:val="28"/>
          <w:szCs w:val="28"/>
        </w:rPr>
        <w:t>prihoda</w:t>
      </w:r>
      <w:r w:rsidR="00D11E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 obavljajući osnovnu delatnost preduzeća, a to je proizvodnja i prodaja proizvoda i usluga. U odnosu na bruto finansijski rezultat zauzima 89</w:t>
      </w:r>
      <w:proofErr w:type="gramStart"/>
      <w:r w:rsidR="00D11E20">
        <w:rPr>
          <w:rFonts w:ascii="Times New Roman" w:hAnsi="Times New Roman" w:cs="Times New Roman"/>
          <w:sz w:val="28"/>
          <w:szCs w:val="28"/>
        </w:rPr>
        <w:t>,64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>% u 2014.godini i 82,41% u 2015.godini. Netipično za proizvodno preduzeće u obe posmatrane godine preduzeće je zabeležilo pozitivan finansijski rezultat iz finansiranja, i u odnosu na bruto finansijski rezultat on iznosi 25</w:t>
      </w:r>
      <w:proofErr w:type="gramStart"/>
      <w:r w:rsidR="00D11E20">
        <w:rPr>
          <w:rFonts w:ascii="Times New Roman" w:hAnsi="Times New Roman" w:cs="Times New Roman"/>
          <w:sz w:val="28"/>
          <w:szCs w:val="28"/>
        </w:rPr>
        <w:t>,29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% u 2014.godini i 11,81% u 2015.godini. Finansijski rezultat iz redovnog poslovanja je u 2014.godini veći od bruto finansijskog rezultata za 14,94% što je povezano sa negativnim rezultatom iz neposlovnih i vanrednih prihoda. U 2015.godini preduzeće je ostvarilo pozitivan rezultat </w:t>
      </w:r>
      <w:r w:rsidR="00D11E20">
        <w:rPr>
          <w:rFonts w:ascii="Times New Roman" w:hAnsi="Times New Roman" w:cs="Times New Roman"/>
          <w:sz w:val="28"/>
          <w:szCs w:val="28"/>
        </w:rPr>
        <w:lastRenderedPageBreak/>
        <w:t xml:space="preserve">iz redovnog poslovanja koji je niži </w:t>
      </w:r>
      <w:proofErr w:type="gramStart"/>
      <w:r w:rsidR="00D11E20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 bruto finansijskog rezultata za iznos pozitivnog fin.rezultata iz neposlovnih i vanrednih prihoda.</w:t>
      </w:r>
    </w:p>
    <w:p w:rsidR="00BE34D1" w:rsidRPr="00BE34D1" w:rsidRDefault="00840F0A" w:rsidP="00BE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Bilans uspeha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85"/>
        <w:gridCol w:w="2410"/>
        <w:gridCol w:w="2410"/>
      </w:tblGrid>
      <w:tr w:rsidR="00840F0A" w:rsidRPr="00840F0A" w:rsidTr="00840F0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I RASHODI: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4637068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5263688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prodaje roba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32,028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44,594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prodaje proizvoda i usluga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4.600.987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5.210.355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premija, subvencija, dotacija, donacija i sl.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Drugi poslovni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8,739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3.953.858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4.628.589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Nabavna vrednsot prodate robe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25238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42869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aktiviranja učinaka i robe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42407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19618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Povećanje vrednosti zaliha nedovršenih i gotovih proizvoda i nedovršenih usluga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149309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77858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Smanjenje vrednosti zaliha nedovršenih i gotovih proizvoda i nedovršenih usluga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materijala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2681865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2923781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goriva i energije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110020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116163</w:t>
            </w:r>
          </w:p>
        </w:tc>
      </w:tr>
      <w:tr w:rsidR="00840F0A" w:rsidRPr="00840F0A" w:rsidTr="00840F0A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zarada, naknada zarada i ostali lični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788772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904194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proizvodnih usluga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214330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306244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amortizacije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142157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166909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 dugoročnih rezervisanja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83815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Nematerijalni troškovi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160702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182090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683210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635099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GUBITAK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221458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129139</w:t>
            </w:r>
          </w:p>
        </w:tc>
      </w:tr>
      <w:tr w:rsidR="00840F0A" w:rsidRPr="00840F0A" w:rsidTr="00840F0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prihodi od povezanih lica i ostali finansijski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9,122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27,724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Prihodi od kamata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64,965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43,904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Pozitivne kursne razlike i pozitivni efekti valutne klauzule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147,371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57,511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28680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38087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rashodi iz odnosa sa povezanim pravnim licima i ostali finansijski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 kamata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3,392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Negativne kursne razlike i negativni efekti valutne klauzule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27,865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34,586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IZ FINANSIRANJA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192,778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91,052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GUBITAK IZ FINANSIRANJA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OD USKLADJIVANJA VREDNOSTI OSTALE IMOVINE KOJA SE ISKAZUJE PO FER VREDNOSTI KROZ BILANS USPEHA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24,673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36,236</w:t>
            </w:r>
          </w:p>
        </w:tc>
      </w:tr>
      <w:tr w:rsidR="00840F0A" w:rsidRPr="00840F0A" w:rsidTr="00840F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 OD USKLADJIVANJA VREDNOSTI OSTALE IMOVINE KOJA SE ISKAZUJE PO FER VREDNOSTI KROZ BILANS USPEHA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130,539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32,906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30,948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40,874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22,673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IZ REDOVNOG POSLOVANJA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762,154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770,662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GUBITAK IZ REDOVNOG POSLOVANJA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DOBITAK POSLOVANJA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GUBITAK POSLOVANJA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762,154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770,662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GUBITAK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POREZ NA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 rashod perioda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Odloženi poreski rashodi perioda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9,423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Odloženi poreski prihodi perioda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3,157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ISPLAĆENA LIČNA PRIMANJA POSLODAVCA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765,311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761,239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</w:p>
    <w:p w:rsidR="002610C1" w:rsidRPr="00272909" w:rsidRDefault="002610C1" w:rsidP="002610C1">
      <w:pPr>
        <w:rPr>
          <w:b/>
          <w:bCs/>
          <w:i/>
          <w:iCs/>
          <w:sz w:val="28"/>
          <w:szCs w:val="28"/>
          <w:lang w:val="sr-Latn-CS"/>
        </w:rPr>
      </w:pPr>
      <w:r w:rsidRPr="00272909">
        <w:rPr>
          <w:b/>
          <w:bCs/>
          <w:i/>
          <w:iCs/>
          <w:sz w:val="28"/>
          <w:szCs w:val="28"/>
          <w:lang w:val="sr-Latn-CS"/>
        </w:rPr>
        <w:lastRenderedPageBreak/>
        <w:t>Analiza rizika ostvarenja finansijskog rezultata</w:t>
      </w:r>
    </w:p>
    <w:tbl>
      <w:tblPr>
        <w:tblW w:w="7440" w:type="dxa"/>
        <w:tblInd w:w="1004" w:type="dxa"/>
        <w:tblLook w:val="04A0" w:firstRow="1" w:lastRow="0" w:firstColumn="1" w:lastColumn="0" w:noHBand="0" w:noVBand="1"/>
      </w:tblPr>
      <w:tblGrid>
        <w:gridCol w:w="4370"/>
        <w:gridCol w:w="1420"/>
        <w:gridCol w:w="1650"/>
      </w:tblGrid>
      <w:tr w:rsidR="002610C1" w:rsidRPr="0069450A" w:rsidTr="002610C1">
        <w:trPr>
          <w:trHeight w:val="3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4,637,068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5,263,688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Varijabilni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3,155,246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3,653,259</w:t>
            </w:r>
          </w:p>
        </w:tc>
      </w:tr>
      <w:tr w:rsidR="002610C1" w:rsidRPr="0069450A" w:rsidTr="002610C1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Marža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 (1-2)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1,481,822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1,610,429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Fiksni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pretežno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798,612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975,330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Neto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-192,778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-91,052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 (3-4)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683,210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635,099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Bruto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 (6-5)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875,988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726,151</w:t>
            </w:r>
          </w:p>
        </w:tc>
      </w:tr>
      <w:tr w:rsidR="002610C1" w:rsidRPr="0069450A" w:rsidTr="002610C1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Faktor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 (3/6)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2610C1" w:rsidRPr="0069450A" w:rsidTr="002610C1">
        <w:trPr>
          <w:trHeight w:val="4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Faktor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 (6/7)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2610C1" w:rsidRPr="0069450A" w:rsidTr="002610C1">
        <w:trPr>
          <w:trHeight w:val="3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Faktor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rizika (8*9)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69450A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</w:tbl>
    <w:p w:rsidR="002610C1" w:rsidRDefault="002610C1" w:rsidP="002610C1"/>
    <w:p w:rsidR="002610C1" w:rsidRPr="004A18C5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 w:rsidRPr="004A18C5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rizika u 2014 godini je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pokazuje da se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promeni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marže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pokrića od 1% 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dobitak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 2,17%. 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rizika se u 2015.godini povećao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iznosi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,54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,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znači da se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promeni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marže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pokrića od 1% 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dobitak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 xml:space="preserve">za 2,54%.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Porast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rizika je rezultat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fiksnih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pretežno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fiksnih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troškova.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preduzeće je bolje da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niži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je manji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smanjenja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ispod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granice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koja ne obezbeđuje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pozitivan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bruto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rezultat.</w:t>
      </w:r>
      <w:proofErr w:type="gramEnd"/>
    </w:p>
    <w:p w:rsidR="002610C1" w:rsidRPr="004A18C5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 w:rsidRPr="004A18C5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riz</w:t>
      </w:r>
      <w:r>
        <w:rPr>
          <w:rFonts w:ascii="Times New Roman" w:hAnsi="Times New Roman" w:cs="Times New Roman"/>
          <w:sz w:val="24"/>
          <w:szCs w:val="24"/>
        </w:rPr>
        <w:t>ika u 2014.godini iznosi 0</w:t>
      </w:r>
      <w:proofErr w:type="gramStart"/>
      <w:r>
        <w:rPr>
          <w:rFonts w:ascii="Times New Roman" w:hAnsi="Times New Roman" w:cs="Times New Roman"/>
          <w:sz w:val="24"/>
          <w:szCs w:val="24"/>
        </w:rPr>
        <w:t>,78</w:t>
      </w:r>
      <w:proofErr w:type="gramEnd"/>
      <w:r>
        <w:rPr>
          <w:rFonts w:ascii="Times New Roman" w:hAnsi="Times New Roman" w:cs="Times New Roman"/>
          <w:sz w:val="24"/>
          <w:szCs w:val="24"/>
        </w:rPr>
        <w:t>,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pokazuje da se pripromeni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dobitka od 1% bruto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 0,78%.  U 2015.godini dolazi do manjeg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na 0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. U 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posmatrane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negativni,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znači da je preduzeće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prihoda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finansij.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rashoda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U 2015.godini bruto fin.rez.je manji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što je dovelo do blagog</w:t>
      </w:r>
      <w:r>
        <w:rPr>
          <w:rFonts w:ascii="Times New Roman" w:hAnsi="Times New Roman" w:cs="Times New Roman"/>
          <w:sz w:val="24"/>
          <w:szCs w:val="24"/>
        </w:rPr>
        <w:t xml:space="preserve"> ali zanevarivog </w:t>
      </w:r>
      <w:r w:rsidRPr="004A18C5">
        <w:rPr>
          <w:rFonts w:ascii="Times New Roman" w:hAnsi="Times New Roman" w:cs="Times New Roman"/>
          <w:sz w:val="24"/>
          <w:szCs w:val="24"/>
        </w:rPr>
        <w:t>porasta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fin.rizika.</w:t>
      </w:r>
    </w:p>
    <w:p w:rsidR="002610C1" w:rsidRPr="004A18C5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 w:rsidRPr="004A18C5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ukupnog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zika u 2014.godini iznosi 1</w:t>
      </w:r>
      <w:proofErr w:type="gramStart"/>
      <w:r>
        <w:rPr>
          <w:rFonts w:ascii="Times New Roman" w:hAnsi="Times New Roman" w:cs="Times New Roman"/>
          <w:sz w:val="24"/>
          <w:szCs w:val="24"/>
        </w:rPr>
        <w:t>,69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pokazuje da se pripromeni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marže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pokrića od 1%, bruto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rez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4A18C5">
        <w:rPr>
          <w:rFonts w:ascii="Times New Roman" w:hAnsi="Times New Roman" w:cs="Times New Roman"/>
          <w:sz w:val="24"/>
          <w:szCs w:val="24"/>
        </w:rPr>
        <w:t>enja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 1,69%. 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ukupnog</w:t>
      </w:r>
      <w:r>
        <w:rPr>
          <w:rFonts w:ascii="Times New Roman" w:hAnsi="Times New Roman" w:cs="Times New Roman"/>
          <w:sz w:val="24"/>
          <w:szCs w:val="24"/>
        </w:rPr>
        <w:t xml:space="preserve"> rizika je u 2015.god.veći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iznosi 2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,22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,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porasta</w:t>
      </w:r>
      <w:r>
        <w:rPr>
          <w:rFonts w:ascii="Times New Roman" w:hAnsi="Times New Roman" w:cs="Times New Roman"/>
          <w:sz w:val="24"/>
          <w:szCs w:val="24"/>
        </w:rPr>
        <w:t xml:space="preserve"> poslovnog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finansijskog</w:t>
      </w:r>
      <w:r>
        <w:rPr>
          <w:rFonts w:ascii="Times New Roman" w:hAnsi="Times New Roman" w:cs="Times New Roman"/>
          <w:sz w:val="24"/>
          <w:szCs w:val="24"/>
        </w:rPr>
        <w:t xml:space="preserve"> ri</w:t>
      </w:r>
      <w:r w:rsidRPr="004A18C5">
        <w:rPr>
          <w:rFonts w:ascii="Times New Roman" w:hAnsi="Times New Roman" w:cs="Times New Roman"/>
          <w:sz w:val="24"/>
          <w:szCs w:val="24"/>
        </w:rPr>
        <w:t>zika.</w:t>
      </w:r>
    </w:p>
    <w:p w:rsidR="002610C1" w:rsidRDefault="002610C1" w:rsidP="002610C1">
      <w:pPr>
        <w:jc w:val="both"/>
      </w:pPr>
    </w:p>
    <w:p w:rsidR="002610C1" w:rsidRDefault="002610C1" w:rsidP="002610C1">
      <w:pPr>
        <w:jc w:val="both"/>
      </w:pPr>
    </w:p>
    <w:p w:rsidR="002610C1" w:rsidRDefault="002610C1" w:rsidP="002610C1">
      <w:pPr>
        <w:jc w:val="both"/>
      </w:pPr>
    </w:p>
    <w:p w:rsidR="002610C1" w:rsidRDefault="002610C1" w:rsidP="002610C1">
      <w:pPr>
        <w:jc w:val="both"/>
      </w:pPr>
    </w:p>
    <w:p w:rsidR="002610C1" w:rsidRDefault="002610C1" w:rsidP="002610C1">
      <w:pPr>
        <w:jc w:val="both"/>
      </w:pPr>
    </w:p>
    <w:p w:rsidR="002610C1" w:rsidRPr="00272909" w:rsidRDefault="002610C1" w:rsidP="002610C1">
      <w:pPr>
        <w:jc w:val="both"/>
        <w:rPr>
          <w:b/>
          <w:i/>
          <w:sz w:val="28"/>
          <w:szCs w:val="28"/>
        </w:rPr>
      </w:pPr>
      <w:r w:rsidRPr="00272909">
        <w:rPr>
          <w:b/>
          <w:i/>
          <w:sz w:val="28"/>
          <w:szCs w:val="28"/>
        </w:rPr>
        <w:t>Analiza donje tačke rentabilnosti</w:t>
      </w:r>
    </w:p>
    <w:tbl>
      <w:tblPr>
        <w:tblW w:w="10031" w:type="dxa"/>
        <w:tblInd w:w="485" w:type="dxa"/>
        <w:tblLook w:val="0600" w:firstRow="0" w:lastRow="0" w:firstColumn="0" w:lastColumn="0" w:noHBand="1" w:noVBand="1"/>
      </w:tblPr>
      <w:tblGrid>
        <w:gridCol w:w="4580"/>
        <w:gridCol w:w="2758"/>
        <w:gridCol w:w="2693"/>
      </w:tblGrid>
      <w:tr w:rsidR="002610C1" w:rsidRPr="00006161" w:rsidTr="002610C1">
        <w:trPr>
          <w:trHeight w:val="435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4.637.068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5.263.688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Varijabilni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3.155.246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3.653.259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Marža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1.481.822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1.610.429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Fiksni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pretežno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798.612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975.330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Neto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finansiranja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-192.778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-91.052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683.210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635.099</w:t>
            </w:r>
          </w:p>
        </w:tc>
      </w:tr>
      <w:tr w:rsidR="002610C1" w:rsidRPr="00006161" w:rsidTr="002610C1">
        <w:trPr>
          <w:trHeight w:val="33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Bruto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875.988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726.151</w:t>
            </w:r>
          </w:p>
        </w:tc>
      </w:tr>
      <w:tr w:rsidR="002610C1" w:rsidRPr="00006161" w:rsidTr="002610C1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% učešća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marže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pokrića u poslovnom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prihodu (3/1*100)</w:t>
            </w:r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Potreban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(4/8*100)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2.499.098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3.187.867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% iskorišćenja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(9/1*100)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60,56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Stopa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elastičnosti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((1-9)/1)*100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Potreban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(4+5)/8*100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1.895.838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2.890.264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% iskorišćenja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(12/1*100)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54,91</w:t>
            </w:r>
          </w:p>
        </w:tc>
      </w:tr>
      <w:tr w:rsidR="002610C1" w:rsidRPr="00006161" w:rsidTr="002610C1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Stopa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elastičnosti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ostvarenja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neutralnog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finansijskog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rezultata ((1-12)/1)*100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0C1" w:rsidRPr="00006161" w:rsidRDefault="002610C1" w:rsidP="00F30C08">
            <w:pPr>
              <w:spacing w:after="0" w:line="240" w:lineRule="auto"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45,09</w:t>
            </w:r>
          </w:p>
        </w:tc>
      </w:tr>
    </w:tbl>
    <w:p w:rsidR="002610C1" w:rsidRDefault="002610C1" w:rsidP="002610C1">
      <w:pPr>
        <w:jc w:val="both"/>
      </w:pPr>
    </w:p>
    <w:p w:rsidR="002610C1" w:rsidRPr="004A18C5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 w:rsidRPr="004A18C5">
        <w:rPr>
          <w:rFonts w:ascii="Times New Roman" w:hAnsi="Times New Roman" w:cs="Times New Roman"/>
          <w:sz w:val="24"/>
          <w:szCs w:val="24"/>
        </w:rPr>
        <w:t>Preduzeće je iskoristilo 53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% 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prihoda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neutralnog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 u 2014.godini, odnosno 60,56% u 2015.godini. Stopa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elastičnosti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koliko % 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može da se smanji da bi 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 xml:space="preserve">nulu.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preduzeće je bolje da 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veću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stopu</w:t>
      </w:r>
      <w:r>
        <w:rPr>
          <w:rFonts w:ascii="Times New Roman" w:hAnsi="Times New Roman" w:cs="Times New Roman"/>
          <w:sz w:val="24"/>
          <w:szCs w:val="24"/>
        </w:rPr>
        <w:t xml:space="preserve"> elastičnosti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manji % iskorišćenja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posl.prihoda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neutralnog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posl.rezultata.</w:t>
      </w:r>
      <w:proofErr w:type="gramEnd"/>
    </w:p>
    <w:p w:rsidR="002610C1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neutralnog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bruto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preduzeće je u 2014.godini iskoristilo 40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,88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% 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 xml:space="preserve">prihoda, dok je u 2015.godini iskoristilo 54,91%. 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U 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posmatrane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koji je potreban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neutralnog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bruto fin.rez.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mani od</w:t>
      </w:r>
      <w:r w:rsidRPr="004A18C5">
        <w:rPr>
          <w:rFonts w:ascii="Times New Roman" w:hAnsi="Times New Roman" w:cs="Times New Roman"/>
          <w:sz w:val="24"/>
          <w:szCs w:val="24"/>
        </w:rPr>
        <w:t xml:space="preserve"> potrebnog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prihoda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neutralnog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pozitivnog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netofinansijskog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 (veći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fin.prihodi od fin.rashoda) koji je doveo do povećanja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bruto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fin.rezultata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iznad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poslovnog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uobičajeno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tipično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proizvodno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preduzeće. Stopa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elas</w:t>
      </w:r>
      <w:r>
        <w:rPr>
          <w:rFonts w:ascii="Times New Roman" w:hAnsi="Times New Roman" w:cs="Times New Roman"/>
          <w:sz w:val="24"/>
          <w:szCs w:val="24"/>
        </w:rPr>
        <w:t>tičnosti je veća u 2014.godini i</w:t>
      </w:r>
      <w:r w:rsidRPr="004A18C5">
        <w:rPr>
          <w:rFonts w:ascii="Times New Roman" w:hAnsi="Times New Roman" w:cs="Times New Roman"/>
          <w:sz w:val="24"/>
          <w:szCs w:val="24"/>
        </w:rPr>
        <w:t xml:space="preserve"> iznosi 59</w:t>
      </w:r>
      <w:proofErr w:type="gramStart"/>
      <w:r w:rsidRPr="004A18C5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4A18C5">
        <w:rPr>
          <w:rFonts w:ascii="Times New Roman" w:hAnsi="Times New Roman" w:cs="Times New Roman"/>
          <w:sz w:val="24"/>
          <w:szCs w:val="24"/>
        </w:rPr>
        <w:t>% u odnosu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na 2015.godinu (45,09%) 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ukazuje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malo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povoljniji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položaj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C5">
        <w:rPr>
          <w:rFonts w:ascii="Times New Roman" w:hAnsi="Times New Roman" w:cs="Times New Roman"/>
          <w:sz w:val="24"/>
          <w:szCs w:val="24"/>
        </w:rPr>
        <w:t>preduzeća u 2014.godini.</w:t>
      </w:r>
    </w:p>
    <w:p w:rsidR="002610C1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0C1" w:rsidRPr="00C03FA5" w:rsidRDefault="002610C1" w:rsidP="002610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FA5">
        <w:rPr>
          <w:rFonts w:ascii="Times New Roman" w:hAnsi="Times New Roman" w:cs="Times New Roman"/>
          <w:b/>
          <w:i/>
          <w:sz w:val="24"/>
          <w:szCs w:val="24"/>
        </w:rPr>
        <w:t>Pokrivenost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FA5">
        <w:rPr>
          <w:rFonts w:ascii="Times New Roman" w:hAnsi="Times New Roman" w:cs="Times New Roman"/>
          <w:b/>
          <w:i/>
          <w:sz w:val="24"/>
          <w:szCs w:val="24"/>
        </w:rPr>
        <w:t>troškova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FA5">
        <w:rPr>
          <w:rFonts w:ascii="Times New Roman" w:hAnsi="Times New Roman" w:cs="Times New Roman"/>
          <w:b/>
          <w:i/>
          <w:sz w:val="24"/>
          <w:szCs w:val="24"/>
        </w:rPr>
        <w:t>kamata</w:t>
      </w:r>
    </w:p>
    <w:p w:rsidR="002610C1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proofErr w:type="gramStart"/>
      <w:r>
        <w:rPr>
          <w:rFonts w:ascii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hAnsi="Times New Roman" w:cs="Times New Roman"/>
          <w:sz w:val="24"/>
          <w:szCs w:val="24"/>
        </w:rPr>
        <w:t>.= 765.311 / 776 = 986</w:t>
      </w:r>
    </w:p>
    <w:p w:rsidR="002610C1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hAnsi="Times New Roman" w:cs="Times New Roman"/>
          <w:sz w:val="24"/>
          <w:szCs w:val="24"/>
        </w:rPr>
        <w:t>. = 761.239 / 3.392 = 224</w:t>
      </w:r>
    </w:p>
    <w:p w:rsidR="002610C1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dobitak je u 2014.godini veći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troškova kamata 986 puta, dok je u 2015.godini veći 224 puta. Što je odnos između poslovnog dobitka i troškova kamata veći, to je pokrivenost kamata veća, kao </w:t>
      </w:r>
      <w:proofErr w:type="gramStart"/>
      <w:r>
        <w:rPr>
          <w:rFonts w:ascii="Times New Roman" w:hAnsi="Times New Roman" w:cs="Times New Roman"/>
          <w:sz w:val="24"/>
          <w:szCs w:val="24"/>
        </w:rPr>
        <w:t>i  finansijska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moć preduzeća, i obrnuto.</w:t>
      </w:r>
    </w:p>
    <w:p w:rsidR="002610C1" w:rsidRPr="00132D20" w:rsidRDefault="002610C1" w:rsidP="002610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D20">
        <w:rPr>
          <w:rFonts w:ascii="Times New Roman" w:hAnsi="Times New Roman" w:cs="Times New Roman"/>
          <w:b/>
          <w:i/>
          <w:sz w:val="24"/>
          <w:szCs w:val="24"/>
        </w:rPr>
        <w:t>Stopa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D20">
        <w:rPr>
          <w:rFonts w:ascii="Times New Roman" w:hAnsi="Times New Roman" w:cs="Times New Roman"/>
          <w:b/>
          <w:i/>
          <w:sz w:val="24"/>
          <w:szCs w:val="24"/>
        </w:rPr>
        <w:t>bruto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D20">
        <w:rPr>
          <w:rFonts w:ascii="Times New Roman" w:hAnsi="Times New Roman" w:cs="Times New Roman"/>
          <w:b/>
          <w:i/>
          <w:sz w:val="24"/>
          <w:szCs w:val="24"/>
        </w:rPr>
        <w:t>prinosa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32D20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2D20">
        <w:rPr>
          <w:rFonts w:ascii="Times New Roman" w:hAnsi="Times New Roman" w:cs="Times New Roman"/>
          <w:b/>
          <w:i/>
          <w:sz w:val="24"/>
          <w:szCs w:val="24"/>
        </w:rPr>
        <w:t>ukupan</w:t>
      </w:r>
      <w:r w:rsidRPr="00C830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>kapital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A23">
        <w:rPr>
          <w:rFonts w:ascii="Times New Roman" w:hAnsi="Times New Roman" w:cs="Times New Roman"/>
          <w:sz w:val="24"/>
          <w:szCs w:val="24"/>
        </w:rPr>
        <w:t>099</w:t>
      </w:r>
      <w:r>
        <w:rPr>
          <w:rFonts w:ascii="Times New Roman" w:hAnsi="Times New Roman" w:cs="Times New Roman"/>
          <w:sz w:val="24"/>
          <w:szCs w:val="24"/>
        </w:rPr>
        <w:t xml:space="preserve"> / ((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6.898.684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7.845.497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*100= 635.099 / 7.372.090 *100 = 8,61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Bruto prinos na ukupno angažovani capital iznosi 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,61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610C1" w:rsidRPr="00A67FCF" w:rsidRDefault="002610C1" w:rsidP="002610C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Stopa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prinosa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ukupan</w:t>
      </w:r>
      <w:r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kapital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3.392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((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6.898.684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7.845.497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)*100 = 764.631 / 7.372.090 *100= 10,37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Stopa neto prinosa na ukupno uložena sredstva iznosi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610C1" w:rsidRPr="00A67FCF" w:rsidRDefault="002610C1" w:rsidP="002610C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Stopa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neto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prinosa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67F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investirani </w:t>
      </w:r>
      <w:r w:rsidRPr="00C830AD">
        <w:rPr>
          <w:rFonts w:ascii="Times New Roman" w:eastAsia="Times New Roman" w:hAnsi="Times New Roman" w:cs="Times New Roman"/>
          <w:b/>
          <w:i/>
          <w:sz w:val="24"/>
          <w:szCs w:val="24"/>
        </w:rPr>
        <w:t>kapital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3.392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((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5.902.813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6.529.071</w:t>
      </w:r>
      <w:r>
        <w:rPr>
          <w:rFonts w:ascii="Times New Roman" w:eastAsia="Times New Roman" w:hAnsi="Times New Roman" w:cs="Times New Roman"/>
          <w:sz w:val="24"/>
          <w:szCs w:val="24"/>
        </w:rPr>
        <w:t>)/2) *100= 764.631 / 6.215.942 *100=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Neto prinos na investiran capital iznosi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610C1" w:rsidRPr="00E10EED" w:rsidRDefault="002610C1" w:rsidP="002610C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Rentabilnost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sopstvenog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kapitala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5.902.813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6.529.071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)/2) *100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/6.215.942*100 = 12,24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Stopa neto prinosa na uloženi sopstveni capital iznosi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610C1" w:rsidRPr="00E10EED" w:rsidRDefault="002610C1" w:rsidP="002610C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Rentabilnost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akcionarskog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EED">
        <w:rPr>
          <w:rFonts w:ascii="Times New Roman" w:eastAsia="Times New Roman" w:hAnsi="Times New Roman" w:cs="Times New Roman"/>
          <w:b/>
          <w:i/>
          <w:sz w:val="24"/>
          <w:szCs w:val="24"/>
        </w:rPr>
        <w:t>kapitala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r w:rsidRPr="00C25A23">
        <w:rPr>
          <w:rFonts w:ascii="Times New Roman" w:eastAsia="Times New Roman" w:hAnsi="Times New Roman" w:cs="Times New Roman"/>
          <w:sz w:val="24"/>
          <w:szCs w:val="24"/>
        </w:rPr>
        <w:t>761.239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01A7F">
        <w:rPr>
          <w:rFonts w:ascii="Times New Roman" w:eastAsia="Times New Roman" w:hAnsi="Times New Roman" w:cs="Times New Roman"/>
          <w:sz w:val="24"/>
          <w:szCs w:val="24"/>
        </w:rPr>
        <w:t>1.217.288</w:t>
      </w:r>
      <w:r>
        <w:rPr>
          <w:rFonts w:ascii="Times New Roman" w:eastAsia="Times New Roman" w:hAnsi="Times New Roman" w:cs="Times New Roman"/>
          <w:sz w:val="24"/>
          <w:szCs w:val="24"/>
        </w:rPr>
        <w:t>*100 =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,54</w:t>
      </w:r>
      <w:proofErr w:type="gramEnd"/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Stopanetoprinosanauloženiakcionarski capital iznosi 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610C1" w:rsidRDefault="002610C1" w:rsidP="00261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 akcionarskog društva stopa rentabilnosti akcionarskog kapitala je visa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stope rentabilnosti sopstvenog kapitala jer sopstveni capital pored akcionarskog kapitala obuhvata i rezerve, akumulirane dobitke za rast i razvoj preduzeća, eventualno emisionu premiju i neraspoređene dobitke iz ranijih godina, tako da je sopstveni kapital viši od akcionarskog kapitala.</w:t>
      </w:r>
    </w:p>
    <w:p w:rsidR="002610C1" w:rsidRPr="004A18C5" w:rsidRDefault="002610C1" w:rsidP="00261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289" w:rsidRPr="00BE34D1" w:rsidRDefault="00EF3289" w:rsidP="00BE34D1">
      <w:pPr>
        <w:rPr>
          <w:rFonts w:ascii="Times New Roman" w:hAnsi="Times New Roman" w:cs="Times New Roman"/>
          <w:sz w:val="28"/>
          <w:szCs w:val="28"/>
        </w:rPr>
      </w:pPr>
    </w:p>
    <w:sectPr w:rsidR="00EF3289" w:rsidRPr="00BE34D1" w:rsidSect="002610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9"/>
    <w:rsid w:val="00017C9B"/>
    <w:rsid w:val="000B5C74"/>
    <w:rsid w:val="000B6EBC"/>
    <w:rsid w:val="001F71B4"/>
    <w:rsid w:val="002610C1"/>
    <w:rsid w:val="002E6B20"/>
    <w:rsid w:val="003113DC"/>
    <w:rsid w:val="00386341"/>
    <w:rsid w:val="003F04FB"/>
    <w:rsid w:val="00525B48"/>
    <w:rsid w:val="00677801"/>
    <w:rsid w:val="006F50E9"/>
    <w:rsid w:val="007C2EC4"/>
    <w:rsid w:val="00815675"/>
    <w:rsid w:val="00840F0A"/>
    <w:rsid w:val="008C3225"/>
    <w:rsid w:val="009476DD"/>
    <w:rsid w:val="009B5910"/>
    <w:rsid w:val="009C136D"/>
    <w:rsid w:val="00A92CDF"/>
    <w:rsid w:val="00B45750"/>
    <w:rsid w:val="00BD461A"/>
    <w:rsid w:val="00BE34D1"/>
    <w:rsid w:val="00C00F85"/>
    <w:rsid w:val="00D11E20"/>
    <w:rsid w:val="00D251B2"/>
    <w:rsid w:val="00DD3764"/>
    <w:rsid w:val="00DF70F6"/>
    <w:rsid w:val="00E5451B"/>
    <w:rsid w:val="00EF3289"/>
    <w:rsid w:val="00F8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3</cp:revision>
  <dcterms:created xsi:type="dcterms:W3CDTF">2018-11-12T11:34:00Z</dcterms:created>
  <dcterms:modified xsi:type="dcterms:W3CDTF">2019-12-02T14:08:00Z</dcterms:modified>
</cp:coreProperties>
</file>