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0" w:rsidRPr="00F359D6" w:rsidRDefault="00CD5386">
      <w:pPr>
        <w:rPr>
          <w:rFonts w:eastAsiaTheme="majorEastAsia" w:cstheme="majorBidi"/>
          <w:b/>
          <w:bCs/>
          <w:i/>
          <w:iCs/>
          <w:color w:val="1F497D" w:themeColor="text2"/>
          <w:sz w:val="24"/>
          <w:szCs w:val="24"/>
          <w:lang w:val="sr-Latn-RS"/>
        </w:rPr>
      </w:pPr>
      <w:r w:rsidRPr="00F359D6">
        <w:rPr>
          <w:rFonts w:eastAsiaTheme="majorEastAsia" w:cstheme="majorBidi"/>
          <w:b/>
          <w:bCs/>
          <w:i/>
          <w:iCs/>
          <w:color w:val="1F497D" w:themeColor="text2"/>
          <w:sz w:val="24"/>
          <w:szCs w:val="24"/>
          <w:lang w:val="sr-Latn-RS"/>
        </w:rPr>
        <w:t>Struktura poslovne aktive</w:t>
      </w:r>
    </w:p>
    <w:tbl>
      <w:tblPr>
        <w:tblW w:w="10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3240"/>
        <w:gridCol w:w="1920"/>
        <w:gridCol w:w="1240"/>
        <w:gridCol w:w="2000"/>
        <w:gridCol w:w="1200"/>
      </w:tblGrid>
      <w:tr w:rsidR="003D2D4C" w:rsidRPr="00CD5386" w:rsidTr="00F30C08">
        <w:trPr>
          <w:trHeight w:val="285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U hiljadama dinara</w:t>
            </w:r>
          </w:p>
        </w:tc>
      </w:tr>
      <w:tr w:rsidR="003D2D4C" w:rsidRPr="00CD5386" w:rsidTr="00F30C08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1A35A6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201</w:t>
            </w:r>
            <w:r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Cyrl-RS"/>
              </w:rPr>
              <w:t>7</w:t>
            </w:r>
            <w:r w:rsidR="003D2D4C" w:rsidRPr="00F359D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.</w:t>
            </w:r>
            <w:r w:rsidR="003D2D4C"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 xml:space="preserve"> god.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1A35A6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201</w:t>
            </w:r>
            <w:r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Cyrl-RS"/>
              </w:rPr>
              <w:t>8</w:t>
            </w:r>
            <w:r w:rsidR="003D2D4C" w:rsidRPr="00F359D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 xml:space="preserve">. </w:t>
            </w:r>
            <w:r w:rsidR="003D2D4C"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godina</w:t>
            </w:r>
          </w:p>
        </w:tc>
      </w:tr>
      <w:tr w:rsidR="003D2D4C" w:rsidRPr="00CD5386" w:rsidTr="00F30C08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Iznos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%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Iznos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%</w:t>
            </w:r>
          </w:p>
        </w:tc>
      </w:tr>
      <w:tr w:rsidR="003D2D4C" w:rsidRPr="00CD5386" w:rsidTr="00F30C08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Neuplaćeni UK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CD5386" w:rsidRDefault="003D2D4C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D4C" w:rsidRPr="00CD5386" w:rsidTr="001A35A6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Investirani kapital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386" w:rsidRPr="00CD5386" w:rsidRDefault="001A35A6" w:rsidP="00F30C08">
            <w:pPr>
              <w:spacing w:before="96"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386" w:rsidRPr="001A35A6" w:rsidRDefault="001A35A6" w:rsidP="00F30C08">
            <w:pPr>
              <w:spacing w:before="96"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10,10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386" w:rsidRPr="00CD5386" w:rsidRDefault="001A35A6" w:rsidP="00F30C08">
            <w:pPr>
              <w:spacing w:before="96"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386" w:rsidRPr="00A02312" w:rsidRDefault="00A02312" w:rsidP="00F30C08">
            <w:pPr>
              <w:spacing w:before="96"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27,41</w:t>
            </w:r>
          </w:p>
        </w:tc>
      </w:tr>
      <w:tr w:rsidR="003D2D4C" w:rsidRPr="00CD5386" w:rsidTr="00F30C08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Operativna imovina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1A35A6" w:rsidP="00F30C08">
            <w:pPr>
              <w:spacing w:before="96"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386" w:rsidRPr="001A35A6" w:rsidRDefault="001A35A6" w:rsidP="00F30C08">
            <w:pPr>
              <w:spacing w:before="96"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89,50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386" w:rsidRPr="00CD5386" w:rsidRDefault="001A35A6" w:rsidP="00F30C08">
            <w:pPr>
              <w:spacing w:before="96"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386" w:rsidRPr="00A02312" w:rsidRDefault="00A02312" w:rsidP="00F30C08">
            <w:pPr>
              <w:spacing w:before="96"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72,13</w:t>
            </w:r>
          </w:p>
        </w:tc>
      </w:tr>
      <w:tr w:rsidR="003D2D4C" w:rsidRPr="00CD5386" w:rsidTr="00F30C08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Odložena por.sred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1A35A6" w:rsidRDefault="001A35A6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68.717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1A35A6" w:rsidRDefault="001A35A6" w:rsidP="001A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1A35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0,40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1A35A6" w:rsidRDefault="001A35A6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83.941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2D4C" w:rsidRPr="00A02312" w:rsidRDefault="00A02312" w:rsidP="00A0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A02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0,46</w:t>
            </w:r>
          </w:p>
        </w:tc>
      </w:tr>
      <w:tr w:rsidR="003D2D4C" w:rsidRPr="00CD5386" w:rsidTr="00F30C08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Poslovna aktiva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1A35A6" w:rsidP="00F30C08">
            <w:pPr>
              <w:spacing w:before="96"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1A35A6" w:rsidP="00F30C08">
            <w:pPr>
              <w:spacing w:before="96"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1A3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386" w:rsidRPr="00CD5386" w:rsidRDefault="003D2D4C" w:rsidP="00F30C08">
            <w:pPr>
              <w:spacing w:before="96"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53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100</w:t>
            </w:r>
          </w:p>
        </w:tc>
      </w:tr>
    </w:tbl>
    <w:p w:rsidR="00CD5386" w:rsidRDefault="00CD5386">
      <w:pPr>
        <w:rPr>
          <w:sz w:val="24"/>
          <w:szCs w:val="24"/>
          <w:lang w:val="sr-Cyrl-RS"/>
        </w:rPr>
      </w:pPr>
    </w:p>
    <w:p w:rsidR="00A02312" w:rsidRPr="00A02312" w:rsidRDefault="00A0231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Odgovor:</w:t>
      </w:r>
    </w:p>
    <w:p w:rsidR="00AE641E" w:rsidRPr="00F359D6" w:rsidRDefault="00AE641E">
      <w:pPr>
        <w:rPr>
          <w:sz w:val="24"/>
          <w:szCs w:val="24"/>
        </w:rPr>
      </w:pPr>
    </w:p>
    <w:p w:rsidR="00AE641E" w:rsidRPr="00F359D6" w:rsidRDefault="00AE641E">
      <w:pPr>
        <w:rPr>
          <w:rFonts w:eastAsiaTheme="majorEastAsia" w:cstheme="majorBidi"/>
          <w:b/>
          <w:bCs/>
          <w:i/>
          <w:iCs/>
          <w:color w:val="1F497D" w:themeColor="text2"/>
          <w:sz w:val="24"/>
          <w:szCs w:val="24"/>
          <w:lang w:val="sr-Latn-RS"/>
        </w:rPr>
      </w:pPr>
      <w:r w:rsidRPr="00F359D6">
        <w:rPr>
          <w:rFonts w:eastAsiaTheme="majorEastAsia" w:cstheme="majorBidi"/>
          <w:b/>
          <w:bCs/>
          <w:i/>
          <w:iCs/>
          <w:color w:val="1F497D" w:themeColor="text2"/>
          <w:sz w:val="24"/>
          <w:szCs w:val="24"/>
          <w:lang w:val="sr-Latn-RS"/>
        </w:rPr>
        <w:t>Struktura operativne imovine</w:t>
      </w:r>
    </w:p>
    <w:tbl>
      <w:tblPr>
        <w:tblW w:w="10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"/>
        <w:gridCol w:w="3589"/>
        <w:gridCol w:w="2048"/>
        <w:gridCol w:w="1289"/>
        <w:gridCol w:w="2253"/>
        <w:gridCol w:w="1183"/>
      </w:tblGrid>
      <w:tr w:rsidR="00AE641E" w:rsidRPr="00F359D6" w:rsidTr="00AE641E">
        <w:trPr>
          <w:trHeight w:val="672"/>
        </w:trPr>
        <w:tc>
          <w:tcPr>
            <w:tcW w:w="6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1E" w:rsidRPr="00F359D6" w:rsidRDefault="00AE641E" w:rsidP="00AE641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1E" w:rsidRPr="00F359D6" w:rsidRDefault="00AE641E" w:rsidP="00AE641E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2017</w:t>
            </w:r>
            <w:r w:rsidR="00AE641E"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. godina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2018</w:t>
            </w:r>
            <w:r w:rsidR="00AE641E"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. godina</w:t>
            </w:r>
          </w:p>
        </w:tc>
      </w:tr>
      <w:tr w:rsidR="00AE641E" w:rsidRPr="00F359D6" w:rsidTr="00AE641E">
        <w:trPr>
          <w:trHeight w:val="672"/>
        </w:trPr>
        <w:tc>
          <w:tcPr>
            <w:tcW w:w="6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1E" w:rsidRPr="00F359D6" w:rsidRDefault="00AE641E" w:rsidP="00AE641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1E" w:rsidRPr="00F359D6" w:rsidRDefault="00AE641E" w:rsidP="00AE641E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iznos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%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iznos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%</w:t>
            </w:r>
          </w:p>
        </w:tc>
      </w:tr>
      <w:tr w:rsidR="00AE641E" w:rsidRPr="00F359D6" w:rsidTr="00D023C1">
        <w:trPr>
          <w:trHeight w:val="385"/>
        </w:trPr>
        <w:tc>
          <w:tcPr>
            <w:tcW w:w="6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Fiksna</w:t>
            </w:r>
            <w:r w:rsidR="00D0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imovina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31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02312">
              <w:rPr>
                <w:rFonts w:ascii="Times New Roman" w:hAnsi="Times New Roman" w:cs="Times New Roman"/>
                <w:i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02312">
              <w:rPr>
                <w:rFonts w:ascii="Times New Roman" w:hAnsi="Times New Roman" w:cs="Times New Roman"/>
                <w:i/>
                <w:sz w:val="24"/>
                <w:szCs w:val="24"/>
              </w:rPr>
              <w:t>460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40,69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31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02312">
              <w:rPr>
                <w:rFonts w:ascii="Times New Roman" w:hAnsi="Times New Roman" w:cs="Times New Roman"/>
                <w:i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02312">
              <w:rPr>
                <w:rFonts w:ascii="Times New Roman" w:hAnsi="Times New Roman" w:cs="Times New Roman"/>
                <w:i/>
                <w:sz w:val="24"/>
                <w:szCs w:val="24"/>
              </w:rPr>
              <w:t>825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54,18</w:t>
            </w:r>
          </w:p>
        </w:tc>
      </w:tr>
      <w:tr w:rsidR="00AE641E" w:rsidRPr="00F359D6" w:rsidTr="00D023C1">
        <w:trPr>
          <w:trHeight w:val="340"/>
        </w:trPr>
        <w:tc>
          <w:tcPr>
            <w:tcW w:w="6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 xml:space="preserve">Obrtna </w:t>
            </w:r>
            <w:r w:rsidR="00D0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imovina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9.012.653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59,31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6.081.235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45,82</w:t>
            </w:r>
          </w:p>
        </w:tc>
      </w:tr>
      <w:tr w:rsidR="00AE641E" w:rsidRPr="00F359D6" w:rsidTr="00D023C1">
        <w:trPr>
          <w:trHeight w:val="466"/>
        </w:trPr>
        <w:tc>
          <w:tcPr>
            <w:tcW w:w="6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Operativna imovina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15.197.113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9BC" w:rsidRPr="00F359D6" w:rsidRDefault="00A02312" w:rsidP="00AE6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13.271.060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9BC" w:rsidRPr="00F359D6" w:rsidRDefault="00AE641E" w:rsidP="00AE6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100</w:t>
            </w:r>
          </w:p>
        </w:tc>
      </w:tr>
    </w:tbl>
    <w:p w:rsidR="00A02312" w:rsidRDefault="00A02312">
      <w:pPr>
        <w:rPr>
          <w:rFonts w:eastAsiaTheme="minorEastAsia"/>
          <w:i/>
          <w:iCs/>
          <w:color w:val="000000" w:themeColor="text1"/>
          <w:sz w:val="24"/>
          <w:szCs w:val="24"/>
          <w:u w:val="single"/>
          <w:lang w:val="sr-Latn-RS"/>
        </w:rPr>
      </w:pPr>
    </w:p>
    <w:p w:rsidR="00A02312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 w:rsidRPr="00A02312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Odgovor:</w:t>
      </w:r>
    </w:p>
    <w:p w:rsidR="00A02312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A02312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A02312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A02312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A02312" w:rsidRPr="00A02312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2C1CCB" w:rsidRPr="00F359D6" w:rsidRDefault="002C1CCB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 w:rsidRPr="00F359D6">
        <w:rPr>
          <w:rFonts w:eastAsiaTheme="minorEastAsia"/>
          <w:i/>
          <w:iCs/>
          <w:color w:val="000000" w:themeColor="text1"/>
          <w:sz w:val="24"/>
          <w:szCs w:val="24"/>
          <w:u w:val="single"/>
          <w:lang w:val="sr-Latn-RS"/>
        </w:rPr>
        <w:lastRenderedPageBreak/>
        <w:t>Koeficijent obrta ukupnih obrtnih sredstava</w:t>
      </w:r>
      <w:r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= prihod od prodaje / prosečna obrtna imovina</w:t>
      </w:r>
    </w:p>
    <w:p w:rsidR="002C1CCB" w:rsidRPr="00F359D6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(2017</w:t>
      </w:r>
      <w:r w:rsidR="002C1CCB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) K= 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7875932</w:t>
      </w:r>
      <w:r w:rsidR="002C1CCB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/ ((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7810992</w:t>
      </w:r>
      <w:r w:rsidR="002C1CCB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+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9012653)/2) = </w:t>
      </w:r>
      <w:r w:rsidR="002C1CCB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0,94</w:t>
      </w:r>
    </w:p>
    <w:p w:rsidR="002C1CCB" w:rsidRPr="00F359D6" w:rsidRDefault="002C1CCB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Br dana= 360 / 0,</w:t>
      </w:r>
      <w:r w:rsidR="00A02312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94 = 382</w:t>
      </w:r>
    </w:p>
    <w:p w:rsidR="002C1CCB" w:rsidRPr="00F359D6" w:rsidRDefault="00A02312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(2018</w:t>
      </w:r>
      <w:r w:rsid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) K = 8621642</w:t>
      </w:r>
      <w:r w:rsidR="002C1CCB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/ ((</w:t>
      </w:r>
      <w:r w:rsid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9012653+6081235)/2) = 1,14</w:t>
      </w:r>
    </w:p>
    <w:p w:rsidR="002C1CCB" w:rsidRDefault="00E322F6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Br dana = 360 / 1,14 = 315</w:t>
      </w:r>
    </w:p>
    <w:p w:rsidR="00E322F6" w:rsidRPr="00F359D6" w:rsidRDefault="00E322F6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Odgovor:</w:t>
      </w:r>
    </w:p>
    <w:p w:rsidR="004F3E8D" w:rsidRPr="00F359D6" w:rsidRDefault="004F3E8D" w:rsidP="004F3E8D">
      <w:pPr>
        <w:spacing w:line="204" w:lineRule="auto"/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 w:rsidRPr="00F359D6">
        <w:rPr>
          <w:rFonts w:eastAsiaTheme="minorEastAsia"/>
          <w:i/>
          <w:iCs/>
          <w:color w:val="000000" w:themeColor="text1"/>
          <w:sz w:val="24"/>
          <w:szCs w:val="24"/>
          <w:u w:val="single"/>
          <w:lang w:val="sr-Latn-RS"/>
        </w:rPr>
        <w:t>Koeficijent obrta ukupne imovine</w:t>
      </w:r>
      <w:r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= </w:t>
      </w:r>
      <w:r w:rsidRPr="00F359D6">
        <w:rPr>
          <w:rFonts w:eastAsiaTheme="minorEastAsia"/>
          <w:i/>
          <w:iCs/>
          <w:color w:val="000000" w:themeColor="text1"/>
          <w:sz w:val="24"/>
          <w:szCs w:val="24"/>
          <w:u w:val="single"/>
          <w:lang w:val="sr-Latn-RS"/>
        </w:rPr>
        <w:t>ukupni prihod /  prosečna vrednost imovine</w:t>
      </w:r>
    </w:p>
    <w:p w:rsidR="004F3E8D" w:rsidRPr="00F359D6" w:rsidRDefault="00E322F6" w:rsidP="004F3E8D">
      <w:pPr>
        <w:spacing w:line="204" w:lineRule="auto"/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(2017</w:t>
      </w:r>
      <w:r w:rsidR="0099426C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) K = </w:t>
      </w:r>
      <w:r w:rsidRP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8696841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/ </w:t>
      </w:r>
      <w:r w:rsidRP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16175080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= 0,54</w:t>
      </w:r>
    </w:p>
    <w:p w:rsidR="0099426C" w:rsidRPr="00F359D6" w:rsidRDefault="00E322F6" w:rsidP="004F3E8D">
      <w:pPr>
        <w:spacing w:line="204" w:lineRule="auto"/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Br dana = 360/0,54 = 666</w:t>
      </w:r>
    </w:p>
    <w:p w:rsidR="0099426C" w:rsidRPr="00F359D6" w:rsidRDefault="00E322F6" w:rsidP="004F3E8D">
      <w:pPr>
        <w:spacing w:line="204" w:lineRule="auto"/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(2018</w:t>
      </w:r>
      <w:r w:rsidR="0099426C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) K = </w:t>
      </w:r>
      <w:r w:rsidRP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8886970</w:t>
      </w:r>
      <w:r w:rsidR="0099426C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/ </w:t>
      </w:r>
      <w:r w:rsidRP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17688738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= 0,50</w:t>
      </w:r>
    </w:p>
    <w:p w:rsidR="0099426C" w:rsidRDefault="0099426C" w:rsidP="004F3E8D">
      <w:pPr>
        <w:spacing w:line="204" w:lineRule="auto"/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Br dana = 360/0,</w:t>
      </w:r>
      <w:r w:rsid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50 = 720</w:t>
      </w:r>
    </w:p>
    <w:p w:rsidR="00E322F6" w:rsidRPr="00F359D6" w:rsidRDefault="00E322F6" w:rsidP="004F3E8D">
      <w:pPr>
        <w:spacing w:line="204" w:lineRule="auto"/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Odgovor:</w:t>
      </w:r>
    </w:p>
    <w:p w:rsidR="0099426C" w:rsidRPr="00F359D6" w:rsidRDefault="0099426C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 w:rsidRPr="00F359D6">
        <w:rPr>
          <w:rFonts w:eastAsiaTheme="minorEastAsia"/>
          <w:i/>
          <w:iCs/>
          <w:color w:val="000000" w:themeColor="text1"/>
          <w:sz w:val="24"/>
          <w:szCs w:val="24"/>
          <w:u w:val="single"/>
          <w:lang w:val="sr-Latn-RS"/>
        </w:rPr>
        <w:t>Rok povraćaja imovine</w:t>
      </w:r>
      <w:r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– iskazuje broj godina u kojima će uložena sredstva u imovinu biti vraćena u gotovini. Izračunava se = </w:t>
      </w:r>
      <w:r w:rsidRPr="00F359D6">
        <w:rPr>
          <w:rFonts w:eastAsiaTheme="minorEastAsia"/>
          <w:i/>
          <w:iCs/>
          <w:color w:val="000000" w:themeColor="text1"/>
          <w:sz w:val="24"/>
          <w:szCs w:val="24"/>
          <w:u w:val="single"/>
          <w:lang w:val="sr-Latn-RS"/>
        </w:rPr>
        <w:t>prosečna imovina / godišnji neto novčani tok iz poslovanja</w:t>
      </w:r>
    </w:p>
    <w:p w:rsidR="0099426C" w:rsidRPr="00F359D6" w:rsidRDefault="0099426C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Neto novčani tok iz poslovanja = troškovi amortizacije i rezervisanja + neto dobitak</w:t>
      </w:r>
    </w:p>
    <w:p w:rsidR="0099426C" w:rsidRPr="00F359D6" w:rsidRDefault="00E322F6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(2017</w:t>
      </w:r>
      <w:r w:rsidR="0099426C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) R = </w:t>
      </w:r>
      <w:r w:rsidRP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16175080</w:t>
      </w:r>
      <w:r w:rsidR="0099426C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/ 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736236+11905+2054188 = 5,77</w:t>
      </w:r>
    </w:p>
    <w:p w:rsidR="0099426C" w:rsidRDefault="00E322F6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(2018</w:t>
      </w:r>
      <w:r w:rsidR="0099426C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) R = </w:t>
      </w:r>
      <w:r w:rsidRPr="00E322F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17688738</w:t>
      </w:r>
      <w:r w:rsidR="0099426C" w:rsidRPr="00F359D6"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 xml:space="preserve"> / </w:t>
      </w: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801916+30653+1822695 = 6,66</w:t>
      </w:r>
    </w:p>
    <w:p w:rsidR="00E322F6" w:rsidRDefault="00E322F6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  <w: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  <w:t>Odgovor:</w:t>
      </w: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p w:rsidR="00D43A49" w:rsidRDefault="00D43A49" w:rsidP="0099426C">
      <w:pPr>
        <w:textAlignment w:val="baseline"/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tbl>
      <w:tblPr>
        <w:tblW w:w="9533" w:type="dxa"/>
        <w:tblInd w:w="-2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4"/>
        <w:gridCol w:w="1555"/>
        <w:gridCol w:w="1674"/>
      </w:tblGrid>
      <w:tr w:rsidR="00D43A49" w:rsidRPr="00D43A49" w:rsidTr="00D43A49">
        <w:trPr>
          <w:trHeight w:val="265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Kratkoročna finansijska ravnoteža</w:t>
            </w:r>
          </w:p>
        </w:tc>
      </w:tr>
      <w:tr w:rsidR="00D43A49" w:rsidRPr="00D43A49" w:rsidTr="00D43A49">
        <w:trPr>
          <w:trHeight w:val="26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Pozicija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D43A4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D43A4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8</w:t>
            </w:r>
          </w:p>
        </w:tc>
      </w:tr>
      <w:tr w:rsidR="00D43A49" w:rsidRPr="00D43A49" w:rsidTr="00D43A49">
        <w:trPr>
          <w:trHeight w:val="29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Potraživanja po osnovu prodaje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2052360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2390879</w:t>
            </w:r>
          </w:p>
        </w:tc>
      </w:tr>
      <w:tr w:rsidR="00D43A49" w:rsidRPr="00D43A49" w:rsidTr="00D43A49">
        <w:trPr>
          <w:trHeight w:val="29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Potraživanja iz specifičnih poslova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249472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111068</w:t>
            </w:r>
          </w:p>
        </w:tc>
      </w:tr>
      <w:tr w:rsidR="00D43A49" w:rsidRPr="00D43A49" w:rsidTr="00D43A49">
        <w:trPr>
          <w:trHeight w:val="26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Druga potraživanja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4598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4773</w:t>
            </w:r>
          </w:p>
        </w:tc>
      </w:tr>
      <w:tr w:rsidR="00D43A49" w:rsidRPr="00D43A49" w:rsidTr="00D43A49">
        <w:trPr>
          <w:trHeight w:val="497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Finansijska sredstva koja se vrednuju po fer vrednosti kroz bilans uspeha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D43A49" w:rsidRPr="00D43A49" w:rsidTr="00D43A49">
        <w:trPr>
          <w:trHeight w:val="29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Kratkoročni finansijki plasmani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5558288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2524175</w:t>
            </w:r>
          </w:p>
        </w:tc>
      </w:tr>
      <w:tr w:rsidR="00D43A49" w:rsidRPr="00D43A49" w:rsidTr="00D43A49">
        <w:trPr>
          <w:trHeight w:val="25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Gotovinski ekvivalent i gotovina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740505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509641</w:t>
            </w:r>
          </w:p>
        </w:tc>
      </w:tr>
      <w:tr w:rsidR="00D43A49" w:rsidRPr="00D43A49" w:rsidTr="00D43A49">
        <w:trPr>
          <w:trHeight w:val="26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Porez na dodatu vrednost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35058</w:t>
            </w:r>
          </w:p>
        </w:tc>
      </w:tr>
      <w:tr w:rsidR="00D43A49" w:rsidRPr="00D43A49" w:rsidTr="00D43A49">
        <w:trPr>
          <w:trHeight w:val="25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Aktivna vremenska razgraničenja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29359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31261</w:t>
            </w:r>
          </w:p>
        </w:tc>
      </w:tr>
      <w:tr w:rsidR="00D43A49" w:rsidRPr="00D43A49" w:rsidTr="00D43A49">
        <w:trPr>
          <w:trHeight w:val="429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Likvidna i kratkoročno vezana sredstva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8634582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5606855</w:t>
            </w:r>
          </w:p>
        </w:tc>
      </w:tr>
      <w:tr w:rsidR="00D43A49" w:rsidRPr="00D43A49" w:rsidTr="00D43A49">
        <w:trPr>
          <w:trHeight w:val="26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Kratkoročne finansijske obaveze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D43A49" w:rsidRPr="00D43A49" w:rsidTr="00D43A49">
        <w:trPr>
          <w:trHeight w:val="26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it-IT"/>
              </w:rPr>
              <w:t>Primljeni avansi, depoziti i kaucije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33240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26157</w:t>
            </w:r>
          </w:p>
        </w:tc>
      </w:tr>
      <w:tr w:rsidR="00D43A49" w:rsidRPr="00D43A49" w:rsidTr="00D43A49">
        <w:trPr>
          <w:trHeight w:val="26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Obaveze iz poslovanja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577149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912904</w:t>
            </w:r>
          </w:p>
        </w:tc>
      </w:tr>
      <w:tr w:rsidR="00D43A49" w:rsidRPr="00D43A49" w:rsidTr="00D43A49">
        <w:trPr>
          <w:trHeight w:val="26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Ostale kratkoročne obaveze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249823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105262</w:t>
            </w:r>
          </w:p>
        </w:tc>
      </w:tr>
      <w:tr w:rsidR="00D43A49" w:rsidRPr="00D43A49" w:rsidTr="00D43A49">
        <w:trPr>
          <w:trHeight w:val="277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pl-PL"/>
              </w:rPr>
              <w:t>Obaveze po osnovu poreza na dodatu vrednost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44300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D43A49" w:rsidRPr="00D43A49" w:rsidTr="00D43A49">
        <w:trPr>
          <w:trHeight w:val="304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pl-PL"/>
              </w:rPr>
              <w:t>Obaveze za ostale poreze, doprinose i druge dažbine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58990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3661</w:t>
            </w:r>
          </w:p>
        </w:tc>
      </w:tr>
      <w:tr w:rsidR="00D43A49" w:rsidRPr="00D43A49" w:rsidTr="00D43A49">
        <w:trPr>
          <w:trHeight w:val="255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Pasivna vremenska razgraničenja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1475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26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1079</w:t>
            </w:r>
          </w:p>
        </w:tc>
      </w:tr>
      <w:tr w:rsidR="00D43A49" w:rsidRPr="00D43A49" w:rsidTr="00D43A49">
        <w:trPr>
          <w:trHeight w:val="37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252" w:type="dxa"/>
              <w:bottom w:w="0" w:type="dxa"/>
              <w:right w:w="14" w:type="dxa"/>
            </w:tcMar>
            <w:vAlign w:val="bottom"/>
            <w:hideMark/>
          </w:tcPr>
          <w:p w:rsidR="00D43A49" w:rsidRPr="00D43A49" w:rsidRDefault="00D43A49" w:rsidP="00402786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Kratkoročni izvori finansiranja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4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964977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43A49" w:rsidRPr="00D43A49" w:rsidRDefault="00D43A49" w:rsidP="00402786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1049063</w:t>
            </w:r>
          </w:p>
        </w:tc>
      </w:tr>
    </w:tbl>
    <w:p w:rsidR="00D43A49" w:rsidRDefault="00D43A49" w:rsidP="0099426C">
      <w:pPr>
        <w:textAlignment w:val="baseline"/>
        <w:rPr>
          <w:color w:val="CC0000"/>
          <w:sz w:val="24"/>
          <w:szCs w:val="24"/>
        </w:rPr>
      </w:pPr>
    </w:p>
    <w:tbl>
      <w:tblPr>
        <w:tblW w:w="103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74"/>
        <w:gridCol w:w="3710"/>
        <w:gridCol w:w="2455"/>
      </w:tblGrid>
      <w:tr w:rsidR="000E2486" w:rsidRPr="000E2486" w:rsidTr="000E2486">
        <w:trPr>
          <w:trHeight w:val="808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402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402786">
            <w:pPr>
              <w:spacing w:before="10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Likvidna i kratkoročno vezana sredstva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402786">
            <w:pPr>
              <w:spacing w:before="10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Kratkoročni izvori finansiranja</w:t>
            </w:r>
          </w:p>
        </w:tc>
      </w:tr>
      <w:tr w:rsidR="000E2486" w:rsidRPr="000E2486" w:rsidTr="000E2486">
        <w:trPr>
          <w:trHeight w:val="556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0E2486">
            <w:pPr>
              <w:spacing w:before="10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201</w:t>
            </w:r>
            <w:r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7</w:t>
            </w: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. godina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402786">
            <w:pPr>
              <w:spacing w:before="10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486" w:rsidRPr="000E2486" w:rsidRDefault="000E2486" w:rsidP="0040278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0,11</w:t>
            </w:r>
          </w:p>
        </w:tc>
      </w:tr>
      <w:tr w:rsidR="000E2486" w:rsidRPr="000E2486" w:rsidTr="000E2486">
        <w:trPr>
          <w:trHeight w:val="556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402786">
            <w:pPr>
              <w:spacing w:before="10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201</w:t>
            </w:r>
            <w:r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8</w:t>
            </w: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. godina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402786">
            <w:pPr>
              <w:spacing w:before="10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E2486">
              <w:rPr>
                <w:rFonts w:ascii="Times New Roman" w:eastAsia="Times New Roman" w:hAnsi="Times New Roman" w:cs="Arial"/>
                <w:i/>
                <w:iCs/>
                <w:color w:val="000000" w:themeColor="text1"/>
                <w:kern w:val="24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486" w:rsidRPr="000E2486" w:rsidRDefault="000E2486" w:rsidP="0040278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0,19</w:t>
            </w:r>
          </w:p>
        </w:tc>
      </w:tr>
      <w:tr w:rsidR="000E2486" w:rsidRPr="000E2486" w:rsidTr="00402786">
        <w:trPr>
          <w:trHeight w:val="14"/>
        </w:trPr>
        <w:tc>
          <w:tcPr>
            <w:tcW w:w="103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486" w:rsidRPr="000E2486" w:rsidRDefault="000E2486" w:rsidP="00402786">
            <w:pPr>
              <w:spacing w:before="10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E2486" w:rsidRDefault="000E2486" w:rsidP="0099426C">
      <w:pPr>
        <w:textAlignment w:val="baseline"/>
        <w:rPr>
          <w:color w:val="CC0000"/>
          <w:sz w:val="24"/>
          <w:szCs w:val="24"/>
        </w:rPr>
      </w:pPr>
    </w:p>
    <w:p w:rsidR="000E2486" w:rsidRDefault="000E2486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E2486">
        <w:rPr>
          <w:rFonts w:ascii="Times New Roman" w:hAnsi="Times New Roman" w:cs="Times New Roman"/>
          <w:i/>
          <w:sz w:val="24"/>
          <w:szCs w:val="24"/>
        </w:rPr>
        <w:t>Odgovor:</w:t>
      </w:r>
    </w:p>
    <w:p w:rsidR="000E2486" w:rsidRDefault="000E2486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96C31" w:rsidRDefault="00E96C31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96C31" w:rsidRDefault="00E96C31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96C31" w:rsidRDefault="00E96C31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96C31" w:rsidRDefault="00E96C31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96C31" w:rsidRDefault="00E96C31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96C31" w:rsidRDefault="00E96C31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96C31" w:rsidRDefault="00E96C31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E2486" w:rsidRPr="00A02C93" w:rsidRDefault="000E2486" w:rsidP="000E2486">
      <w:pPr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A02C9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Analiza likvidnosti </w:t>
      </w:r>
      <w:proofErr w:type="gramStart"/>
      <w:r w:rsidRPr="00A02C93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A02C93">
        <w:rPr>
          <w:rFonts w:ascii="Times New Roman" w:hAnsi="Times New Roman" w:cs="Times New Roman"/>
          <w:b/>
          <w:i/>
          <w:sz w:val="24"/>
          <w:szCs w:val="24"/>
        </w:rPr>
        <w:t xml:space="preserve"> bazi koeficijenata:</w:t>
      </w:r>
    </w:p>
    <w:p w:rsidR="000E2486" w:rsidRPr="00E96C31" w:rsidRDefault="000E2486" w:rsidP="000E2486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E2486" w:rsidRPr="00E96C31" w:rsidRDefault="000E2486" w:rsidP="000E2486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96C31">
        <w:rPr>
          <w:rFonts w:ascii="Times New Roman" w:hAnsi="Times New Roman" w:cs="Times New Roman"/>
          <w:i/>
          <w:sz w:val="24"/>
          <w:szCs w:val="24"/>
        </w:rPr>
        <w:t xml:space="preserve">Koeficijent gotovinske likvidnosti </w:t>
      </w:r>
    </w:p>
    <w:p w:rsidR="00E96C31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= 740505 / 964977 = 0</w:t>
      </w:r>
      <w:proofErr w:type="gramStart"/>
      <w:r>
        <w:rPr>
          <w:rFonts w:ascii="Times New Roman" w:hAnsi="Times New Roman" w:cs="Times New Roman"/>
          <w:sz w:val="24"/>
          <w:szCs w:val="24"/>
        </w:rPr>
        <w:t>,77</w:t>
      </w:r>
      <w:proofErr w:type="gramEnd"/>
    </w:p>
    <w:p w:rsidR="00E96C31" w:rsidRPr="000E2486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= 509641 / 1049063 = 0</w:t>
      </w:r>
      <w:proofErr w:type="gramStart"/>
      <w:r>
        <w:rPr>
          <w:rFonts w:ascii="Times New Roman" w:hAnsi="Times New Roman" w:cs="Times New Roman"/>
          <w:sz w:val="24"/>
          <w:szCs w:val="24"/>
        </w:rPr>
        <w:t>,49</w:t>
      </w:r>
      <w:proofErr w:type="gramEnd"/>
    </w:p>
    <w:p w:rsidR="000E2486" w:rsidRPr="000E2486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Odgovor:</w:t>
      </w:r>
    </w:p>
    <w:p w:rsidR="000E2486" w:rsidRDefault="000E2486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E96C31">
        <w:rPr>
          <w:rFonts w:ascii="Times New Roman" w:hAnsi="Times New Roman" w:cs="Times New Roman"/>
          <w:i/>
          <w:sz w:val="24"/>
          <w:szCs w:val="24"/>
        </w:rPr>
        <w:t>Koeficijent redukovane likvidnosti</w:t>
      </w:r>
      <w:r w:rsidRPr="000E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31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2017= </w:t>
      </w:r>
      <w:r w:rsidRPr="00E96C31">
        <w:rPr>
          <w:rFonts w:ascii="Times New Roman" w:hAnsi="Times New Roman" w:cs="Times New Roman"/>
          <w:sz w:val="24"/>
          <w:szCs w:val="24"/>
        </w:rPr>
        <w:t>8634582</w:t>
      </w:r>
      <w:r>
        <w:rPr>
          <w:rFonts w:ascii="Times New Roman" w:hAnsi="Times New Roman" w:cs="Times New Roman"/>
          <w:sz w:val="24"/>
          <w:szCs w:val="24"/>
        </w:rPr>
        <w:t xml:space="preserve"> / 964977 = 8</w:t>
      </w:r>
      <w:proofErr w:type="gramStart"/>
      <w:r>
        <w:rPr>
          <w:rFonts w:ascii="Times New Roman" w:hAnsi="Times New Roman" w:cs="Times New Roman"/>
          <w:sz w:val="24"/>
          <w:szCs w:val="24"/>
        </w:rPr>
        <w:t>,95</w:t>
      </w:r>
      <w:proofErr w:type="gramEnd"/>
    </w:p>
    <w:p w:rsidR="00E96C31" w:rsidRPr="00E96C31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E96C31">
        <w:rPr>
          <w:rFonts w:ascii="Times New Roman" w:hAnsi="Times New Roman" w:cs="Times New Roman"/>
          <w:sz w:val="24"/>
          <w:szCs w:val="24"/>
        </w:rPr>
        <w:t>2018= 5606855 / 1049063 = 5</w:t>
      </w:r>
      <w:proofErr w:type="gramStart"/>
      <w:r w:rsidRPr="00E96C31">
        <w:rPr>
          <w:rFonts w:ascii="Times New Roman" w:hAnsi="Times New Roman" w:cs="Times New Roman"/>
          <w:sz w:val="24"/>
          <w:szCs w:val="24"/>
        </w:rPr>
        <w:t>,34</w:t>
      </w:r>
      <w:proofErr w:type="gramEnd"/>
    </w:p>
    <w:p w:rsidR="000E2486" w:rsidRPr="00E96C31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E96C31">
        <w:rPr>
          <w:rFonts w:ascii="Times New Roman" w:hAnsi="Times New Roman" w:cs="Times New Roman"/>
          <w:sz w:val="24"/>
          <w:szCs w:val="24"/>
        </w:rPr>
        <w:t>Odgovor:</w:t>
      </w:r>
    </w:p>
    <w:p w:rsidR="000E2486" w:rsidRPr="00E96C31" w:rsidRDefault="000E2486" w:rsidP="000E2486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96C31">
        <w:rPr>
          <w:rFonts w:ascii="Times New Roman" w:hAnsi="Times New Roman" w:cs="Times New Roman"/>
          <w:i/>
          <w:sz w:val="24"/>
          <w:szCs w:val="24"/>
        </w:rPr>
        <w:t xml:space="preserve">Koeficijent opšte likvidnosti </w:t>
      </w:r>
    </w:p>
    <w:p w:rsidR="00E96C31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2017= 9012653 / 964977 = 9</w:t>
      </w:r>
      <w:proofErr w:type="gramStart"/>
      <w:r>
        <w:rPr>
          <w:rFonts w:ascii="Times New Roman" w:hAnsi="Times New Roman" w:cs="Times New Roman"/>
          <w:sz w:val="24"/>
          <w:szCs w:val="24"/>
        </w:rPr>
        <w:t>,34</w:t>
      </w:r>
      <w:proofErr w:type="gramEnd"/>
    </w:p>
    <w:p w:rsidR="00E96C31" w:rsidRDefault="00E96C3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2018= 6081235 / 1049063 = 5</w:t>
      </w:r>
      <w:proofErr w:type="gramStart"/>
      <w:r>
        <w:rPr>
          <w:rFonts w:ascii="Times New Roman" w:hAnsi="Times New Roman" w:cs="Times New Roman"/>
          <w:sz w:val="24"/>
          <w:szCs w:val="24"/>
        </w:rPr>
        <w:t>,80</w:t>
      </w:r>
      <w:proofErr w:type="gramEnd"/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Odgovor:</w:t>
      </w: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229" w:rsidRPr="00A02C93" w:rsidRDefault="00692229" w:rsidP="000E2486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2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Analiza dugoročne finansijske ravnoteže </w:t>
      </w:r>
      <w:proofErr w:type="gramStart"/>
      <w:r w:rsidRPr="00A02C93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A02C93">
        <w:rPr>
          <w:rFonts w:ascii="Times New Roman" w:hAnsi="Times New Roman" w:cs="Times New Roman"/>
          <w:b/>
          <w:sz w:val="24"/>
          <w:szCs w:val="24"/>
        </w:rPr>
        <w:t xml:space="preserve"> osnovu dugoročno vezanih sredstava</w:t>
      </w:r>
    </w:p>
    <w:tbl>
      <w:tblPr>
        <w:tblW w:w="97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14"/>
        <w:gridCol w:w="1588"/>
        <w:gridCol w:w="1716"/>
      </w:tblGrid>
      <w:tr w:rsidR="00692229" w:rsidRPr="00692229" w:rsidTr="00692229">
        <w:trPr>
          <w:trHeight w:val="414"/>
        </w:trPr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Dugoročna finansijska ravnoteža</w:t>
            </w:r>
          </w:p>
        </w:tc>
      </w:tr>
      <w:tr w:rsidR="00692229" w:rsidRPr="00692229" w:rsidTr="00692229">
        <w:trPr>
          <w:trHeight w:val="414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sz w:val="24"/>
                <w:szCs w:val="24"/>
              </w:rPr>
              <w:t>Pozicija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A02541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A02541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692229" w:rsidRPr="00692229" w:rsidTr="00692229">
        <w:trPr>
          <w:trHeight w:val="453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Zalihe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378071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474380</w:t>
            </w:r>
          </w:p>
        </w:tc>
      </w:tr>
      <w:tr w:rsidR="00692229" w:rsidRPr="00692229" w:rsidTr="00692229">
        <w:trPr>
          <w:trHeight w:val="453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Stalna imovina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7898815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12232115</w:t>
            </w:r>
          </w:p>
        </w:tc>
      </w:tr>
      <w:tr w:rsidR="00692229" w:rsidRPr="00692229" w:rsidTr="00692229">
        <w:trPr>
          <w:trHeight w:val="414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Odložena poreska sredstva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83941</w:t>
            </w:r>
          </w:p>
        </w:tc>
      </w:tr>
      <w:tr w:rsidR="00692229" w:rsidRPr="00692229" w:rsidTr="00692229">
        <w:trPr>
          <w:trHeight w:val="671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Dugoročno vezana sredstva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A02541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b/>
                <w:sz w:val="24"/>
                <w:szCs w:val="24"/>
              </w:rPr>
              <w:t>8345603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A02541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b/>
                <w:sz w:val="24"/>
                <w:szCs w:val="24"/>
              </w:rPr>
              <w:t>12790436</w:t>
            </w:r>
          </w:p>
        </w:tc>
      </w:tr>
      <w:tr w:rsidR="00692229" w:rsidRPr="00692229" w:rsidTr="00692229">
        <w:trPr>
          <w:trHeight w:val="414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Kapital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692229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15949233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17253600</w:t>
            </w:r>
          </w:p>
        </w:tc>
      </w:tr>
      <w:tr w:rsidR="00692229" w:rsidRPr="00692229" w:rsidTr="00692229">
        <w:trPr>
          <w:trHeight w:val="414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Dugoročna rezervisanja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94628</w:t>
            </w:r>
          </w:p>
        </w:tc>
      </w:tr>
      <w:tr w:rsidR="00692229" w:rsidRPr="00692229" w:rsidTr="00692229">
        <w:trPr>
          <w:trHeight w:val="414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Dugoročne obaveze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229" w:rsidRPr="00692229" w:rsidTr="00692229">
        <w:trPr>
          <w:trHeight w:val="414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Odložene poreske obaveze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:rsidR="00000000" w:rsidRPr="00692229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229" w:rsidRPr="00692229" w:rsidTr="00692229">
        <w:trPr>
          <w:trHeight w:val="453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692229" w:rsidRDefault="00692229" w:rsidP="00692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Dugoročni izvori finansiranja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A02541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b/>
                <w:sz w:val="24"/>
                <w:szCs w:val="24"/>
              </w:rPr>
              <w:t>16015208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A02541" w:rsidRDefault="00A02541" w:rsidP="00692229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b/>
                <w:sz w:val="24"/>
                <w:szCs w:val="24"/>
              </w:rPr>
              <w:t>17348228</w:t>
            </w:r>
          </w:p>
        </w:tc>
      </w:tr>
    </w:tbl>
    <w:p w:rsidR="00692229" w:rsidRDefault="00692229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0"/>
        <w:gridCol w:w="3290"/>
        <w:gridCol w:w="3290"/>
      </w:tblGrid>
      <w:tr w:rsidR="00A02541" w:rsidRPr="00A02541" w:rsidTr="00A02541">
        <w:trPr>
          <w:trHeight w:val="494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541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Dugoročno vezana sredstva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Kapital</w:t>
            </w:r>
          </w:p>
        </w:tc>
      </w:tr>
      <w:tr w:rsidR="00A02541" w:rsidRPr="00A02541" w:rsidTr="00A02541">
        <w:trPr>
          <w:trHeight w:val="274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2017</w:t>
            </w:r>
            <w:r w:rsidRPr="00A025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. godina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i/>
                <w:sz w:val="24"/>
                <w:szCs w:val="24"/>
              </w:rPr>
              <w:t>1,92</w:t>
            </w:r>
          </w:p>
        </w:tc>
      </w:tr>
      <w:tr w:rsidR="00A02541" w:rsidRPr="00A02541" w:rsidTr="00A02541">
        <w:trPr>
          <w:trHeight w:val="274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2018</w:t>
            </w:r>
            <w:r w:rsidRPr="00A025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. godina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i/>
                <w:sz w:val="24"/>
                <w:szCs w:val="24"/>
              </w:rPr>
              <w:t>1,36</w:t>
            </w:r>
          </w:p>
        </w:tc>
      </w:tr>
      <w:tr w:rsidR="00A02541" w:rsidRPr="00A02541" w:rsidTr="00A02541">
        <w:trPr>
          <w:trHeight w:val="1373"/>
        </w:trPr>
        <w:tc>
          <w:tcPr>
            <w:tcW w:w="98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02541" w:rsidRDefault="00A02541" w:rsidP="00A025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Odgovor:</w:t>
            </w:r>
          </w:p>
        </w:tc>
      </w:tr>
    </w:tbl>
    <w:p w:rsidR="00A02541" w:rsidRPr="000E2486" w:rsidRDefault="00A02541" w:rsidP="000E248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2486" w:rsidRDefault="000E2486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2DE" w:rsidRDefault="00B002DE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2DE" w:rsidRDefault="00B002DE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2DE" w:rsidRDefault="00B002DE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2DE" w:rsidRDefault="00B002DE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2DE" w:rsidRDefault="00B002DE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2DE" w:rsidRPr="00A02C93" w:rsidRDefault="00B002DE" w:rsidP="0099426C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2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Analiza dugoročne finansijske ravnoteže </w:t>
      </w:r>
      <w:proofErr w:type="gramStart"/>
      <w:r w:rsidRPr="00A02C93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A02C93">
        <w:rPr>
          <w:rFonts w:ascii="Times New Roman" w:hAnsi="Times New Roman" w:cs="Times New Roman"/>
          <w:b/>
          <w:sz w:val="24"/>
          <w:szCs w:val="24"/>
        </w:rPr>
        <w:t xml:space="preserve"> osnovu obrtnog fonda</w:t>
      </w:r>
    </w:p>
    <w:tbl>
      <w:tblPr>
        <w:tblW w:w="91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4897"/>
        <w:gridCol w:w="1710"/>
        <w:gridCol w:w="1799"/>
      </w:tblGrid>
      <w:tr w:rsidR="00B002DE" w:rsidRPr="00B002DE" w:rsidTr="00B002DE">
        <w:trPr>
          <w:trHeight w:val="400"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Dugoročna finansijska ravnoteža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2018</w:t>
            </w:r>
          </w:p>
        </w:tc>
      </w:tr>
      <w:tr w:rsidR="00B002DE" w:rsidRPr="00B002DE" w:rsidTr="00B002DE"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Kapital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15949233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17253600</w:t>
            </w:r>
          </w:p>
        </w:tc>
      </w:tr>
      <w:tr w:rsidR="00B002DE" w:rsidRPr="00B002DE" w:rsidTr="00B002DE"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Dugoročna rezervisanja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94628</w:t>
            </w:r>
          </w:p>
        </w:tc>
      </w:tr>
      <w:tr w:rsidR="00B002DE" w:rsidRPr="00B002DE" w:rsidTr="00B002DE"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Dugoročne obaveze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DE" w:rsidRPr="00B002DE" w:rsidTr="00B002DE"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Odložene poreske obaveze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DE" w:rsidRPr="00B002DE" w:rsidTr="00B002DE">
        <w:trPr>
          <w:trHeight w:val="72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Dugoročni izvori finansiranja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16015208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17348228</w:t>
            </w:r>
          </w:p>
        </w:tc>
      </w:tr>
      <w:tr w:rsidR="00B002DE" w:rsidRPr="00B002DE" w:rsidTr="00B002DE"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Stalna imovina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12232115</w:t>
            </w:r>
          </w:p>
        </w:tc>
      </w:tr>
      <w:tr w:rsidR="00B002DE" w:rsidRPr="00B002DE" w:rsidTr="00B002DE">
        <w:trPr>
          <w:trHeight w:val="43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Odložena poreska sredstva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83941</w:t>
            </w:r>
          </w:p>
        </w:tc>
      </w:tr>
      <w:tr w:rsidR="00B002DE" w:rsidRPr="00B002DE" w:rsidTr="00B002DE">
        <w:trPr>
          <w:trHeight w:val="7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Dugoročno vezana sred. bez zaliha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7967532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12316056</w:t>
            </w:r>
          </w:p>
        </w:tc>
      </w:tr>
      <w:tr w:rsidR="00B002DE" w:rsidRPr="00B002DE" w:rsidTr="00B002DE"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Obrtni fond 5-8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8047676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5032172</w:t>
            </w:r>
          </w:p>
        </w:tc>
      </w:tr>
      <w:tr w:rsidR="00B002DE" w:rsidRPr="00B002DE" w:rsidTr="00B002DE">
        <w:trPr>
          <w:trHeight w:val="4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Zalihe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378071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474380</w:t>
            </w:r>
          </w:p>
        </w:tc>
      </w:tr>
      <w:tr w:rsidR="00B002DE" w:rsidRPr="00B002DE" w:rsidTr="00B002DE">
        <w:trPr>
          <w:trHeight w:val="90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Procenat pokrića stalnih zaliha OF 9/10*100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Pr="00B002DE" w:rsidRDefault="00B002DE" w:rsidP="00B002DE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2128%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B002DE" w:rsidRDefault="00B002DE" w:rsidP="00B002DE">
            <w:pPr>
              <w:ind w:left="-930" w:hanging="84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DE">
              <w:rPr>
                <w:rFonts w:ascii="Times New Roman" w:hAnsi="Times New Roman" w:cs="Times New Roman"/>
                <w:b/>
                <w:sz w:val="24"/>
                <w:szCs w:val="24"/>
              </w:rPr>
              <w:t>1060%</w:t>
            </w:r>
          </w:p>
        </w:tc>
      </w:tr>
    </w:tbl>
    <w:p w:rsidR="00B002DE" w:rsidRDefault="00B002DE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2DE" w:rsidRDefault="00B002DE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Odgovor:</w:t>
      </w:r>
    </w:p>
    <w:p w:rsidR="00B002DE" w:rsidRPr="00A8108A" w:rsidRDefault="00B002DE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002DE" w:rsidRPr="00A8108A" w:rsidRDefault="00A8108A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8108A">
        <w:rPr>
          <w:rFonts w:ascii="Times New Roman" w:hAnsi="Times New Roman" w:cs="Times New Roman"/>
          <w:i/>
          <w:sz w:val="24"/>
          <w:szCs w:val="24"/>
        </w:rPr>
        <w:t>Koeficijent finansijske stabilnosti:</w:t>
      </w:r>
    </w:p>
    <w:p w:rsidR="00A8108A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2017= </w:t>
      </w:r>
      <w:r w:rsidRPr="00A8108A">
        <w:rPr>
          <w:rFonts w:ascii="Times New Roman" w:hAnsi="Times New Roman" w:cs="Times New Roman"/>
          <w:sz w:val="24"/>
          <w:szCs w:val="24"/>
        </w:rPr>
        <w:t>8345603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8108A">
        <w:rPr>
          <w:rFonts w:ascii="Times New Roman" w:hAnsi="Times New Roman" w:cs="Times New Roman"/>
          <w:sz w:val="24"/>
          <w:szCs w:val="24"/>
        </w:rPr>
        <w:t>16015208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>
        <w:rPr>
          <w:rFonts w:ascii="Times New Roman" w:hAnsi="Times New Roman" w:cs="Times New Roman"/>
          <w:sz w:val="24"/>
          <w:szCs w:val="24"/>
        </w:rPr>
        <w:t>,52</w:t>
      </w:r>
      <w:proofErr w:type="gramEnd"/>
    </w:p>
    <w:p w:rsidR="00A8108A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2018= </w:t>
      </w:r>
      <w:r w:rsidRPr="00A8108A">
        <w:rPr>
          <w:rFonts w:ascii="Times New Roman" w:hAnsi="Times New Roman" w:cs="Times New Roman"/>
          <w:sz w:val="24"/>
          <w:szCs w:val="24"/>
        </w:rPr>
        <w:t>12790436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8108A">
        <w:rPr>
          <w:rFonts w:ascii="Times New Roman" w:hAnsi="Times New Roman" w:cs="Times New Roman"/>
          <w:sz w:val="24"/>
          <w:szCs w:val="24"/>
        </w:rPr>
        <w:t>17348228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>
        <w:rPr>
          <w:rFonts w:ascii="Times New Roman" w:hAnsi="Times New Roman" w:cs="Times New Roman"/>
          <w:sz w:val="24"/>
          <w:szCs w:val="24"/>
        </w:rPr>
        <w:t>,74</w:t>
      </w:r>
      <w:proofErr w:type="gramEnd"/>
    </w:p>
    <w:p w:rsidR="00A8108A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Odgovor:</w:t>
      </w:r>
    </w:p>
    <w:p w:rsidR="00A8108A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108A" w:rsidRPr="00A8108A" w:rsidRDefault="00A8108A" w:rsidP="0099426C">
      <w:pP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8108A">
        <w:rPr>
          <w:rFonts w:ascii="Times New Roman" w:hAnsi="Times New Roman" w:cs="Times New Roman"/>
          <w:i/>
          <w:sz w:val="24"/>
          <w:szCs w:val="24"/>
        </w:rPr>
        <w:t>Koeficijent solventnosti:</w:t>
      </w:r>
    </w:p>
    <w:p w:rsidR="00A8108A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= 16980185 / 964977 = 17</w:t>
      </w:r>
      <w:proofErr w:type="gramStart"/>
      <w:r>
        <w:rPr>
          <w:rFonts w:ascii="Times New Roman" w:hAnsi="Times New Roman" w:cs="Times New Roman"/>
          <w:sz w:val="24"/>
          <w:szCs w:val="24"/>
        </w:rPr>
        <w:t>,60</w:t>
      </w:r>
      <w:proofErr w:type="gramEnd"/>
    </w:p>
    <w:p w:rsidR="00A8108A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= 18397291 / 1049063 = 17</w:t>
      </w:r>
      <w:proofErr w:type="gramStart"/>
      <w:r>
        <w:rPr>
          <w:rFonts w:ascii="Times New Roman" w:hAnsi="Times New Roman" w:cs="Times New Roman"/>
          <w:sz w:val="24"/>
          <w:szCs w:val="24"/>
        </w:rPr>
        <w:t>,54</w:t>
      </w:r>
      <w:proofErr w:type="gramEnd"/>
    </w:p>
    <w:p w:rsidR="00A8108A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Odgovor:</w:t>
      </w:r>
    </w:p>
    <w:p w:rsidR="00F61C12" w:rsidRDefault="00F61C12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1C12" w:rsidRPr="00A02C93" w:rsidRDefault="00F61C12" w:rsidP="0099426C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2C93">
        <w:rPr>
          <w:rFonts w:ascii="Times New Roman" w:hAnsi="Times New Roman" w:cs="Times New Roman"/>
          <w:b/>
          <w:sz w:val="24"/>
          <w:szCs w:val="24"/>
        </w:rPr>
        <w:lastRenderedPageBreak/>
        <w:t>Analiza boniteta Altmanovim Z-score modelom</w:t>
      </w:r>
    </w:p>
    <w:p w:rsidR="00A8108A" w:rsidRPr="000E2486" w:rsidRDefault="00A8108A" w:rsidP="0099426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724"/>
        <w:gridCol w:w="3336"/>
        <w:gridCol w:w="66"/>
        <w:gridCol w:w="1774"/>
        <w:gridCol w:w="352"/>
        <w:gridCol w:w="2410"/>
        <w:gridCol w:w="2789"/>
      </w:tblGrid>
      <w:tr w:rsidR="00F61C12" w:rsidRPr="00F61C12" w:rsidTr="00A02C93">
        <w:trPr>
          <w:gridAfter w:val="1"/>
          <w:wAfter w:w="2789" w:type="dxa"/>
          <w:trHeight w:val="30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C12" w:rsidRPr="00F61C12" w:rsidRDefault="00F61C12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RB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C12" w:rsidRPr="00F61C12" w:rsidRDefault="00F61C12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Pozicija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C12" w:rsidRPr="00F61C12" w:rsidRDefault="00F61C12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CS"/>
              </w:rPr>
              <w:t>2017</w:t>
            </w:r>
            <w:r w:rsidRPr="00F61C1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C12" w:rsidRPr="00F61C12" w:rsidRDefault="00F61C12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Latn-CS"/>
              </w:rPr>
              <w:t>2018</w:t>
            </w:r>
            <w:r w:rsidRPr="00F61C1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02C93" w:rsidRPr="00F61C12" w:rsidTr="00A02C93">
        <w:trPr>
          <w:gridAfter w:val="1"/>
          <w:wAfter w:w="2789" w:type="dxa"/>
          <w:trHeight w:val="285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1.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Ukupna sredstva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16980185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18397291</w:t>
            </w:r>
          </w:p>
        </w:tc>
      </w:tr>
      <w:tr w:rsidR="00A02C93" w:rsidRPr="00F61C12" w:rsidTr="00A02C93">
        <w:trPr>
          <w:gridAfter w:val="1"/>
          <w:wAfter w:w="2789" w:type="dxa"/>
          <w:trHeight w:val="376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2.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Trajni i dugoročni kapital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16015208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17348228</w:t>
            </w:r>
          </w:p>
        </w:tc>
      </w:tr>
      <w:tr w:rsidR="00A02C93" w:rsidRPr="00F61C12" w:rsidTr="00A02C93">
        <w:trPr>
          <w:gridAfter w:val="1"/>
          <w:wAfter w:w="2789" w:type="dxa"/>
          <w:trHeight w:val="285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3.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Dug vez sred bez zaliha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7967532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12316056</w:t>
            </w:r>
          </w:p>
        </w:tc>
      </w:tr>
      <w:tr w:rsidR="00A02C93" w:rsidRPr="00F61C12" w:rsidTr="00A02C93">
        <w:trPr>
          <w:gridAfter w:val="1"/>
          <w:wAfter w:w="2789" w:type="dxa"/>
          <w:trHeight w:val="285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4.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Obrtni kapital (2 – 3 )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8047676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5032172</w:t>
            </w:r>
          </w:p>
        </w:tc>
      </w:tr>
      <w:tr w:rsidR="00A02C93" w:rsidRPr="00F61C12" w:rsidTr="00A02C93">
        <w:trPr>
          <w:gridAfter w:val="1"/>
          <w:wAfter w:w="2789" w:type="dxa"/>
          <w:trHeight w:val="285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5.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X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sr-Latn-CS"/>
              </w:rPr>
              <w:t>1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(4 / 1)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0.473945131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0.27352788</w:t>
            </w:r>
          </w:p>
        </w:tc>
      </w:tr>
      <w:tr w:rsidR="00A02C93" w:rsidRPr="00F61C12" w:rsidTr="00A02C93">
        <w:trPr>
          <w:gridAfter w:val="1"/>
          <w:wAfter w:w="2789" w:type="dxa"/>
          <w:trHeight w:val="43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6.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Neraspoređeni dobitak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12782768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14087135</w:t>
            </w:r>
          </w:p>
        </w:tc>
      </w:tr>
      <w:tr w:rsidR="00A02C93" w:rsidRPr="00F61C12" w:rsidTr="00A02C93">
        <w:trPr>
          <w:gridAfter w:val="1"/>
          <w:wAfter w:w="2789" w:type="dxa"/>
          <w:trHeight w:val="285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7.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X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sr-Latn-CS"/>
              </w:rPr>
              <w:t>2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(6 / 1)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0.75280499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0.765717898</w:t>
            </w:r>
          </w:p>
        </w:tc>
      </w:tr>
      <w:tr w:rsidR="00A02C93" w:rsidRPr="00F61C12" w:rsidTr="00A02C93">
        <w:trPr>
          <w:gridAfter w:val="1"/>
          <w:wAfter w:w="2789" w:type="dxa"/>
          <w:trHeight w:val="72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8.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Dobitak pre odbitka kamata i poreza na dobitak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2263253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2052278</w:t>
            </w:r>
          </w:p>
        </w:tc>
      </w:tr>
      <w:tr w:rsidR="00A02C93" w:rsidRPr="00F61C12" w:rsidTr="00A02C93">
        <w:trPr>
          <w:gridAfter w:val="1"/>
          <w:wAfter w:w="2789" w:type="dxa"/>
          <w:trHeight w:val="43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9.</w:t>
            </w: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>X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sr-Latn-CS"/>
              </w:rPr>
              <w:t>3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(8 / 1)</w:t>
            </w: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0.133287888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0.111553272</w:t>
            </w:r>
          </w:p>
        </w:tc>
      </w:tr>
      <w:tr w:rsidR="00A02C93" w:rsidRPr="00F61C12" w:rsidTr="00A02C93">
        <w:trPr>
          <w:gridAfter w:val="1"/>
          <w:wAfter w:w="2789" w:type="dxa"/>
          <w:trHeight w:val="43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10.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Kapital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15949233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17253600</w:t>
            </w:r>
          </w:p>
        </w:tc>
      </w:tr>
      <w:tr w:rsidR="00A02C93" w:rsidRPr="00F61C12" w:rsidTr="00A02C93">
        <w:trPr>
          <w:gridAfter w:val="1"/>
          <w:wAfter w:w="2789" w:type="dxa"/>
          <w:trHeight w:val="43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11.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Obaveze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964977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1049063</w:t>
            </w:r>
          </w:p>
        </w:tc>
      </w:tr>
      <w:tr w:rsidR="00A02C93" w:rsidRPr="00F61C12" w:rsidTr="00A02C93">
        <w:trPr>
          <w:gridAfter w:val="1"/>
          <w:wAfter w:w="2789" w:type="dxa"/>
          <w:trHeight w:val="43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12.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X4 (10 / 11)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16.52809652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16.4466767</w:t>
            </w:r>
          </w:p>
        </w:tc>
      </w:tr>
      <w:tr w:rsidR="00A02C93" w:rsidRPr="00F61C12" w:rsidTr="00A02C93">
        <w:trPr>
          <w:gridAfter w:val="1"/>
          <w:wAfter w:w="2789" w:type="dxa"/>
          <w:trHeight w:val="43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13.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Prihodi od prodaje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7875932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8621642</w:t>
            </w:r>
          </w:p>
        </w:tc>
      </w:tr>
      <w:tr w:rsidR="00A02C93" w:rsidRPr="00F61C12" w:rsidTr="00A02C93">
        <w:trPr>
          <w:gridAfter w:val="1"/>
          <w:wAfter w:w="2789" w:type="dxa"/>
          <w:trHeight w:val="433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14.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2C93" w:rsidRPr="00F61C12" w:rsidRDefault="00A02C93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61C1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X5 (13 / 1)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0.463830753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2C93" w:rsidRPr="00A02C93" w:rsidRDefault="00A02C93" w:rsidP="00A02C93">
            <w:pPr>
              <w:ind w:firstLineChars="100" w:firstLine="24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0.468636497</w:t>
            </w:r>
          </w:p>
        </w:tc>
      </w:tr>
      <w:tr w:rsidR="00A56156" w:rsidRPr="00F61C12" w:rsidTr="00A02C93">
        <w:trPr>
          <w:trHeight w:val="285"/>
        </w:trPr>
        <w:tc>
          <w:tcPr>
            <w:tcW w:w="1158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56" w:rsidRPr="00F61C12" w:rsidRDefault="00A56156" w:rsidP="00F6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02C93" w:rsidRPr="00A02C93" w:rsidTr="00A02C9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29" w:type="dxa"/>
          <w:wAfter w:w="5551" w:type="dxa"/>
          <w:trHeight w:val="630"/>
        </w:trPr>
        <w:tc>
          <w:tcPr>
            <w:tcW w:w="40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C93" w:rsidRPr="00A02C93" w:rsidRDefault="00A02C93" w:rsidP="00A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Z</w:t>
            </w:r>
            <w:r w:rsidRPr="00A0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 xml:space="preserve"> skor 2017=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C93" w:rsidRPr="00A02C93" w:rsidRDefault="00A02C93" w:rsidP="00A0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12.44319984</w:t>
            </w:r>
          </w:p>
        </w:tc>
      </w:tr>
      <w:tr w:rsidR="00A02C93" w:rsidRPr="00A02C93" w:rsidTr="00A02C9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29" w:type="dxa"/>
          <w:wAfter w:w="5551" w:type="dxa"/>
          <w:trHeight w:val="6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C93" w:rsidRPr="00A02C93" w:rsidRDefault="00A02C93" w:rsidP="00A0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>Z</w:t>
            </w:r>
            <w:r w:rsidRPr="00A0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r-Latn-RS"/>
              </w:rPr>
              <w:t xml:space="preserve"> skor 2018 =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C93" w:rsidRPr="00A02C93" w:rsidRDefault="00A02C93" w:rsidP="00A0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12.10500683</w:t>
            </w:r>
          </w:p>
        </w:tc>
      </w:tr>
    </w:tbl>
    <w:p w:rsidR="0099426C" w:rsidRDefault="0099426C" w:rsidP="004F3E8D">
      <w:pPr>
        <w:spacing w:line="204" w:lineRule="auto"/>
        <w:textAlignment w:val="baseline"/>
        <w:rPr>
          <w:color w:val="CC0000"/>
          <w:sz w:val="24"/>
          <w:szCs w:val="24"/>
        </w:rPr>
      </w:pPr>
    </w:p>
    <w:p w:rsidR="00A02C93" w:rsidRDefault="00A02C93" w:rsidP="004F3E8D">
      <w:pPr>
        <w:spacing w:line="204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02C93">
        <w:rPr>
          <w:rFonts w:ascii="Times New Roman" w:hAnsi="Times New Roman" w:cs="Times New Roman"/>
          <w:sz w:val="24"/>
          <w:szCs w:val="24"/>
        </w:rPr>
        <w:t>Odgovor:</w:t>
      </w:r>
    </w:p>
    <w:p w:rsidR="00A02C93" w:rsidRDefault="00A02C93" w:rsidP="004F3E8D">
      <w:pPr>
        <w:spacing w:line="204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DADADA"/>
          <w:left w:val="single" w:sz="6" w:space="0" w:color="DADADA"/>
          <w:bottom w:val="single" w:sz="6" w:space="0" w:color="DADADA"/>
          <w:right w:val="single" w:sz="2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1819"/>
        <w:gridCol w:w="1819"/>
        <w:gridCol w:w="1819"/>
        <w:gridCol w:w="1819"/>
      </w:tblGrid>
      <w:tr w:rsidR="00DC738D" w:rsidRPr="00DC738D" w:rsidTr="00DC738D"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AKTIVA: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31.12.2018.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UKUPNA AKTIVA=POSLOVNA IMOVINA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15.897.464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15.369.975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16.980.185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18.397.291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UPISAN A NEUPLAĆEN KAPITAL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STALNA IMOVINA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7.834.201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7.522.849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7.898.815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12.232.115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Nematerijalna imovina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13.700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12.516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60.551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46.019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Nekretnine , postrojenja i oprema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6.177.134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6.006.305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6.123.909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7.143.806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Biološka sredstva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Dugoročni finansijki plasmani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1.643.367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1.487.702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1.493.236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4.937.392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Dugoročna potraživanja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16.326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221.119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104.898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ODLOŽENA PORESKA SREDSTVA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32.270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36.134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68.717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83.941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OBRTNA IMOVINA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8.030.993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7.810.992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9.012.653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6.081.235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Zalihe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526.895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366.969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378.071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474.380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Potraživanja po osnovu prodaje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2.182.711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1.717.563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2.052.360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2.390.879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Potraživanja iz specifičnih poslova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293.564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342.888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249.472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111.068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Druga potraživanja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214.214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194.734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4.598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4.773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Finansijska sredstva koja se vrednuju po fer vrednosti kroz bilans uspeha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Kratkoročni finansijki plasmani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4.361.084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3.318.473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5.558.288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2.524.175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Gotovinski ekvivalent i gotovina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427.540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1.848.810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740.505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509.641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Porez na dodatu vrednost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3.685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35.058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Aktivna vremenska razgraničenja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21.300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21.555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29.359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31.261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PASIVA: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31.12.2018.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UKUPNA PASIVA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15.897.464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15.369.975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16.980.185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18.397.291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KAPITAL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15.015.328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14.154.210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15.949.233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17.253.600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Osnovni kapital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1.884.234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1.884.234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1.884.234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1.884.234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Upisani a neuplaćeni kapital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Otkupljene sopstevne akcije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Rezerve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1.282.231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1.282.231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1.282.231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1.282.231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Revalorizacione rezerve po osnovu revalorizacije nematerijalne imovine, nekretnina, postrojenja i opeme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Nerealizovani dobici po osnovu hartija od vrednosti drugih komponenti ostalog sveobuhvatnog rezultata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Nerealizovani gubici po osnovu hartija od vrednosti drugih komponenti ostalog sveobuhvatnog rezultata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Nerasporedjeni dobitak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11.848.863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10.987.745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12.782.768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14.087.135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Učešće bez prava kontrole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Gubitak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DUGOROČNA REZERVISANJA I OBAVEZE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57.220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64.070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65.975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94.628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Dugoročna rezervisanja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57.220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64.070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65.975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94.628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Dugoročne obaveze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ODLOŽENE PORESKE OBAVEZE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KRATKOROČNE OBAVEZE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824.916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1.151.695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964.977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1.049.063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Kratkoročne finansijske obaveze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Primljeni avansi, depoziti i kaucije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16.909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21.043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33.240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26.157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Obaveze iz poslovanja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471.924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775.766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577.149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912.904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Ostale kratkoročne obaveze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293.754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343.241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249.823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105.262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 xml:space="preserve">Obaveze po osnovu poreza na dodatu </w:t>
            </w: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lastRenderedPageBreak/>
              <w:t>vrednost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40.451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10.073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44.300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lastRenderedPageBreak/>
              <w:t>Obaveze za ostale poreze, doprinose i druge dažbine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58.990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3.661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Pasivna vremenska razgraničenja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1.878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1.572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1.475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1.079</w:t>
            </w:r>
          </w:p>
        </w:tc>
      </w:tr>
      <w:tr w:rsidR="00DC738D" w:rsidRPr="00DC738D" w:rsidTr="00DC738D">
        <w:tc>
          <w:tcPr>
            <w:tcW w:w="3749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GUBITAK IZNAD VISINE KAPITALA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</w:tbl>
    <w:p w:rsidR="00A02C93" w:rsidRDefault="00A02C93" w:rsidP="004F3E8D">
      <w:pPr>
        <w:spacing w:line="204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DADADA"/>
          <w:left w:val="single" w:sz="6" w:space="0" w:color="DADADA"/>
          <w:bottom w:val="single" w:sz="6" w:space="0" w:color="DADADA"/>
          <w:right w:val="single" w:sz="2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1819"/>
        <w:gridCol w:w="1819"/>
        <w:gridCol w:w="1819"/>
        <w:gridCol w:w="1819"/>
      </w:tblGrid>
      <w:tr w:rsidR="00DC738D" w:rsidRPr="00DC738D" w:rsidTr="00DC738D"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PRIHODI I RASHODI: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31.12.2018.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POSLOVNI PRIHODI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6.806.318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7.636.403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8.010.417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8.769.732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Prihodi od prodaje roba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517.855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709.286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343.764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427.808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Prihodi od prodaje proizvoda i usluga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6.176.858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6.814.963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7.532.168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8.193.834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Prihodi od premija, subvencija, dotacija, donacija i sl.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Drugi poslovni prihodi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111.605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112.154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134.485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148.090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POSLOVNI RASHODI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5.129.699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6.004.563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6.096.363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6.663.116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Nabavna vrednsot prodate robe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420.943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637.512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270.510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334.872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Prihodi od aktiviranja učinaka i robe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38.559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13.357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4.556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5.358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Povećanje vrednosti zaliha nedovršenih i gotovih proizvoda i nedovršenih usluga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34.155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13.783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68.396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Smanjenje vrednosti zaliha nedovršenih i gotovih proizvoda i nedovršenih usluga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5.460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18.143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25.222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45.765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Troškovi materijala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650.615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762.960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896.177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1.034.866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Troškovi goriva i energije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1.596.272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1.928.721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2.148.475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2.237.985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Troškovi zarada, naknada zarada i ostali lični rashodi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791.772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822.813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878.074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898.171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Troškovi proizvodnih usluga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587.349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582.173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688.985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769.443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Troškovi amortizacije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693.651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789.102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736.236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801.916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Troškovi dugoročnih rezervisanja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22.720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10.850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11.905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30.653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Nematerijalni troškovi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433.631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479.429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513.731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514.803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POSLOVNI DOBITAK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1.676.619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1.631.840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1.914.054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2.106.616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POSLOVNI GUBITAK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FINANSIJSKI PRIHODI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280.267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209.906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97.349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69.282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Finansijski prihodi od povezanih lica i ostali finansijski prihodi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30.496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2.800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22.607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215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Prihodi od kamata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135.779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67.494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42.976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56.042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Pozitivne kursne razlike i pozitivni efekti valutne klauzule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113.992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139.612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31.766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13.025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FINANSIJSKI RASHODI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113.142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76.490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271.883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30.711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Finansijski rashodi iz odnosa sa povezanim pravnim licima i ostali finansijski rashodi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29.862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32.929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Rashodi kamata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2.245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4.559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48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Negativne kursne razlike i negativni efekti valutne klauzule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81.035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71.624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238.918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30.661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DOBITAK IZ FINANSIRANJA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167.125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133.416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38.571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GUBITAK IZ FINANSIRANJA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174.534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PRIHODI OD USKLADJIVANJA VREDNOSTI OSTALE IMOVINE KOJA SE ISKAZUJE PO FER VREDNOSTI KROZ BILANS USPEHA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536.969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RASHODI OD USKLADJIVANJA VREDNOSTI OSTALE IMOVINE KOJA SE ISKAZUJE PO FER VREDNOSTI KROZ BILANS USPEHA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21.817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515.643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122.286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lastRenderedPageBreak/>
              <w:t>OSTALI PRIHODI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42.418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36.946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52.106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47.956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OSTALI RASHODI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113.075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148.272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65.378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18.601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DOBITAK IZ REDOVNOG POSLOVANJA PRE OPOREZIVANJA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1.751.270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1.138.287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2.263.217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2.052.256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GUBITAK IZ REDOVNOG POSLOVANJA PRE OPOREZIVANJA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NETO DOBITAK POSLOVANJA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8.722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12.205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NETO GUBITAK POSLOVANJA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7.882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4.762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DOBITAK PRE OPOREZIVANJA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1.743.388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1.133.525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2.271.939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2.064.461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GUBITAK PRE OPOREZIVANJA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POREZ NA DOBITAK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Poreski rashod perioda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124.074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250.334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256.991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Odloženi poreski rashodi perioda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Odloženi poreski prihodi perioda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33.081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3.863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32.583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15.225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ISPLAĆENA LIČNA PRIMANJA POSLODAVCA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</w:tr>
      <w:tr w:rsidR="00DC738D" w:rsidRPr="00DC738D" w:rsidTr="00DC738D">
        <w:tc>
          <w:tcPr>
            <w:tcW w:w="3750" w:type="dxa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</w:rPr>
              <w:t>NETO DOBITAK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1.776.469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1.013.314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2.054.188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DADADA"/>
              <w:bottom w:val="single" w:sz="2" w:space="0" w:color="DADADA"/>
              <w:right w:val="single" w:sz="6" w:space="0" w:color="DADAD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DC738D" w:rsidRPr="00DC738D" w:rsidRDefault="00DC738D" w:rsidP="00DC73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C73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1.822.695</w:t>
            </w:r>
          </w:p>
        </w:tc>
      </w:tr>
    </w:tbl>
    <w:p w:rsidR="00DC738D" w:rsidRPr="00A02C93" w:rsidRDefault="00DC738D" w:rsidP="004F3E8D">
      <w:pPr>
        <w:spacing w:line="204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E8D" w:rsidRPr="00F359D6" w:rsidRDefault="004F3E8D" w:rsidP="00E35127">
      <w:pPr>
        <w:rPr>
          <w:rFonts w:eastAsiaTheme="minorEastAsia"/>
          <w:i/>
          <w:iCs/>
          <w:color w:val="000000" w:themeColor="text1"/>
          <w:sz w:val="24"/>
          <w:szCs w:val="24"/>
          <w:lang w:val="sr-Latn-RS"/>
        </w:rPr>
      </w:pPr>
    </w:p>
    <w:sectPr w:rsidR="004F3E8D" w:rsidRPr="00F359D6" w:rsidSect="003D2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2C"/>
    <w:multiLevelType w:val="hybridMultilevel"/>
    <w:tmpl w:val="33FA7030"/>
    <w:lvl w:ilvl="0" w:tplc="72ACCE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6568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C8A9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E43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CEA2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65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889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2C0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CCB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C78F3"/>
    <w:multiLevelType w:val="hybridMultilevel"/>
    <w:tmpl w:val="94002D86"/>
    <w:lvl w:ilvl="0" w:tplc="EBC0BA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0125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6B4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6C1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8BB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C29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E7D0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4BA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C95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E08B7"/>
    <w:multiLevelType w:val="hybridMultilevel"/>
    <w:tmpl w:val="E578E370"/>
    <w:lvl w:ilvl="0" w:tplc="EAD0D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210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8CF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628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4604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8DB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8BA6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4209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A79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86"/>
    <w:rsid w:val="000E2486"/>
    <w:rsid w:val="001A35A6"/>
    <w:rsid w:val="001C65D0"/>
    <w:rsid w:val="002C1CCB"/>
    <w:rsid w:val="003D2D4C"/>
    <w:rsid w:val="004179BC"/>
    <w:rsid w:val="004F3E8D"/>
    <w:rsid w:val="00692229"/>
    <w:rsid w:val="00816BDA"/>
    <w:rsid w:val="0099426C"/>
    <w:rsid w:val="00A02312"/>
    <w:rsid w:val="00A02541"/>
    <w:rsid w:val="00A02C93"/>
    <w:rsid w:val="00A56156"/>
    <w:rsid w:val="00A8108A"/>
    <w:rsid w:val="00AE641E"/>
    <w:rsid w:val="00B002DE"/>
    <w:rsid w:val="00CD5386"/>
    <w:rsid w:val="00D023C1"/>
    <w:rsid w:val="00D26E5C"/>
    <w:rsid w:val="00D43A49"/>
    <w:rsid w:val="00DC738D"/>
    <w:rsid w:val="00E322F6"/>
    <w:rsid w:val="00E35127"/>
    <w:rsid w:val="00E96C31"/>
    <w:rsid w:val="00F11BB5"/>
    <w:rsid w:val="00F359D6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8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00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56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11</cp:revision>
  <dcterms:created xsi:type="dcterms:W3CDTF">2020-01-23T08:16:00Z</dcterms:created>
  <dcterms:modified xsi:type="dcterms:W3CDTF">2020-01-23T10:14:00Z</dcterms:modified>
</cp:coreProperties>
</file>