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90"/>
        <w:gridCol w:w="894"/>
        <w:gridCol w:w="1535"/>
        <w:gridCol w:w="1403"/>
        <w:gridCol w:w="154"/>
        <w:gridCol w:w="1794"/>
        <w:gridCol w:w="1147"/>
      </w:tblGrid>
      <w:tr w:rsidR="0019398C" w:rsidRPr="002D43DE" w14:paraId="1A30AB05" w14:textId="77777777" w:rsidTr="004343A8">
        <w:trPr>
          <w:trHeight w:val="235"/>
        </w:trPr>
        <w:tc>
          <w:tcPr>
            <w:tcW w:w="9288" w:type="dxa"/>
            <w:gridSpan w:val="8"/>
          </w:tcPr>
          <w:p w14:paraId="6DA626F0" w14:textId="77777777"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14:paraId="3A1B5912" w14:textId="77777777" w:rsidTr="00373550">
        <w:trPr>
          <w:trHeight w:val="235"/>
        </w:trPr>
        <w:tc>
          <w:tcPr>
            <w:tcW w:w="2171" w:type="dxa"/>
            <w:gridSpan w:val="2"/>
          </w:tcPr>
          <w:p w14:paraId="581D8C99" w14:textId="77777777"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17" w:type="dxa"/>
            <w:gridSpan w:val="6"/>
          </w:tcPr>
          <w:p w14:paraId="00A7A2C0" w14:textId="470027B6" w:rsidR="00033B98" w:rsidRPr="00373550" w:rsidRDefault="00373550" w:rsidP="00E775EE">
            <w:pPr>
              <w:rPr>
                <w:bCs/>
                <w:sz w:val="24"/>
                <w:szCs w:val="24"/>
                <w:lang w:val="sr-Latn-RS"/>
              </w:rPr>
            </w:pPr>
            <w:r>
              <w:rPr>
                <w:bCs/>
                <w:sz w:val="24"/>
                <w:szCs w:val="24"/>
                <w:lang w:val="sr-Latn-RS"/>
              </w:rPr>
              <w:t>2019-2020</w:t>
            </w:r>
          </w:p>
        </w:tc>
      </w:tr>
      <w:tr w:rsidR="008D47D3" w:rsidRPr="002D43DE" w14:paraId="258167C4" w14:textId="77777777" w:rsidTr="00373550">
        <w:trPr>
          <w:trHeight w:val="235"/>
        </w:trPr>
        <w:tc>
          <w:tcPr>
            <w:tcW w:w="2171" w:type="dxa"/>
            <w:gridSpan w:val="2"/>
          </w:tcPr>
          <w:p w14:paraId="4634DFA8" w14:textId="77777777"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17" w:type="dxa"/>
            <w:gridSpan w:val="6"/>
          </w:tcPr>
          <w:p w14:paraId="75750659" w14:textId="722EFEF3" w:rsidR="008D47D3" w:rsidRPr="00373550" w:rsidRDefault="00373550" w:rsidP="00E775EE">
            <w:pPr>
              <w:rPr>
                <w:bCs/>
                <w:sz w:val="24"/>
                <w:szCs w:val="24"/>
                <w:lang w:val="sr-Latn-RS"/>
              </w:rPr>
            </w:pPr>
            <w:r>
              <w:rPr>
                <w:bCs/>
                <w:sz w:val="24"/>
                <w:szCs w:val="24"/>
                <w:lang w:val="sr-Latn-RS"/>
              </w:rPr>
              <w:t>Međunarodno poslovanje i finansije</w:t>
            </w:r>
          </w:p>
        </w:tc>
      </w:tr>
      <w:tr w:rsidR="008D47D3" w:rsidRPr="002D43DE" w14:paraId="65F8F674" w14:textId="77777777" w:rsidTr="00373550">
        <w:trPr>
          <w:trHeight w:val="232"/>
        </w:trPr>
        <w:tc>
          <w:tcPr>
            <w:tcW w:w="2171" w:type="dxa"/>
            <w:gridSpan w:val="2"/>
          </w:tcPr>
          <w:p w14:paraId="70767F2D" w14:textId="77777777" w:rsidR="008D47D3" w:rsidRPr="002D43DE" w:rsidRDefault="008D47D3" w:rsidP="00E775EE">
            <w:pPr>
              <w:rPr>
                <w:sz w:val="24"/>
                <w:szCs w:val="24"/>
                <w:lang w:val="sr-Cyrl-CS"/>
              </w:rPr>
            </w:pPr>
            <w:r w:rsidRPr="002D43DE">
              <w:rPr>
                <w:b/>
                <w:bCs/>
                <w:sz w:val="24"/>
                <w:szCs w:val="24"/>
                <w:lang w:val="sr-Cyrl-CS"/>
              </w:rPr>
              <w:t>Назив предмета</w:t>
            </w:r>
          </w:p>
        </w:tc>
        <w:tc>
          <w:tcPr>
            <w:tcW w:w="7117" w:type="dxa"/>
            <w:gridSpan w:val="6"/>
          </w:tcPr>
          <w:p w14:paraId="0CF9CB4D" w14:textId="62C2AACD" w:rsidR="008D47D3" w:rsidRPr="00373550" w:rsidRDefault="00373550" w:rsidP="00E775EE">
            <w:pPr>
              <w:rPr>
                <w:b/>
                <w:bCs/>
                <w:sz w:val="24"/>
                <w:szCs w:val="24"/>
                <w:lang w:val="sr-Latn-RS"/>
              </w:rPr>
            </w:pPr>
            <w:r>
              <w:rPr>
                <w:b/>
                <w:bCs/>
                <w:sz w:val="24"/>
                <w:szCs w:val="24"/>
                <w:lang w:val="sr-Latn-RS"/>
              </w:rPr>
              <w:t>Međunarodno poslovno finansiranje</w:t>
            </w:r>
          </w:p>
        </w:tc>
      </w:tr>
      <w:tr w:rsidR="008D47D3" w:rsidRPr="002D43DE" w14:paraId="4833F1A0" w14:textId="77777777" w:rsidTr="00373550">
        <w:trPr>
          <w:trHeight w:val="232"/>
        </w:trPr>
        <w:tc>
          <w:tcPr>
            <w:tcW w:w="2171" w:type="dxa"/>
            <w:gridSpan w:val="2"/>
          </w:tcPr>
          <w:p w14:paraId="1B13A3CC" w14:textId="77777777" w:rsidR="008D47D3" w:rsidRPr="002D43DE" w:rsidRDefault="008D47D3" w:rsidP="00E775EE">
            <w:pPr>
              <w:rPr>
                <w:b/>
                <w:bCs/>
                <w:sz w:val="24"/>
                <w:szCs w:val="24"/>
                <w:lang w:val="sr-Cyrl-CS"/>
              </w:rPr>
            </w:pPr>
            <w:r w:rsidRPr="002D43DE">
              <w:rPr>
                <w:b/>
                <w:bCs/>
                <w:sz w:val="24"/>
                <w:szCs w:val="24"/>
                <w:lang w:val="sr-Cyrl-CS"/>
              </w:rPr>
              <w:t>Наставник</w:t>
            </w:r>
          </w:p>
        </w:tc>
        <w:tc>
          <w:tcPr>
            <w:tcW w:w="7117" w:type="dxa"/>
            <w:gridSpan w:val="6"/>
          </w:tcPr>
          <w:p w14:paraId="5B7F92EA" w14:textId="14C554FE" w:rsidR="008D47D3" w:rsidRPr="00373550" w:rsidRDefault="00373550" w:rsidP="00E775EE">
            <w:pPr>
              <w:rPr>
                <w:bCs/>
                <w:sz w:val="24"/>
                <w:szCs w:val="24"/>
                <w:lang w:val="sr-Latn-RS"/>
              </w:rPr>
            </w:pPr>
            <w:r>
              <w:rPr>
                <w:bCs/>
                <w:sz w:val="24"/>
                <w:szCs w:val="24"/>
                <w:lang w:val="sr-Latn-RS"/>
              </w:rPr>
              <w:t>Dr Dejan Živkov</w:t>
            </w:r>
          </w:p>
        </w:tc>
      </w:tr>
      <w:tr w:rsidR="0019398C" w:rsidRPr="002D43DE" w14:paraId="4384131F" w14:textId="77777777" w:rsidTr="00373550">
        <w:trPr>
          <w:trHeight w:val="232"/>
        </w:trPr>
        <w:tc>
          <w:tcPr>
            <w:tcW w:w="2171" w:type="dxa"/>
            <w:gridSpan w:val="2"/>
          </w:tcPr>
          <w:p w14:paraId="0BC96012" w14:textId="77777777"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17" w:type="dxa"/>
            <w:gridSpan w:val="6"/>
          </w:tcPr>
          <w:p w14:paraId="477736F4" w14:textId="3767E42B" w:rsidR="0019398C" w:rsidRPr="00373550" w:rsidRDefault="00373550" w:rsidP="00E775EE">
            <w:pPr>
              <w:rPr>
                <w:bCs/>
                <w:sz w:val="24"/>
                <w:szCs w:val="24"/>
                <w:lang w:val="sr-Latn-RS"/>
              </w:rPr>
            </w:pPr>
            <w:r>
              <w:rPr>
                <w:bCs/>
                <w:sz w:val="24"/>
                <w:szCs w:val="24"/>
                <w:lang w:val="sr-Latn-RS"/>
              </w:rPr>
              <w:t>Dr Dejan Živkov</w:t>
            </w:r>
          </w:p>
        </w:tc>
      </w:tr>
      <w:tr w:rsidR="008D47D3" w:rsidRPr="002D43DE" w14:paraId="6416FACB" w14:textId="77777777" w:rsidTr="00373550">
        <w:trPr>
          <w:trHeight w:val="232"/>
        </w:trPr>
        <w:tc>
          <w:tcPr>
            <w:tcW w:w="2171" w:type="dxa"/>
            <w:gridSpan w:val="2"/>
          </w:tcPr>
          <w:p w14:paraId="3CDE55FE" w14:textId="77777777" w:rsidR="008D47D3" w:rsidRPr="002D43DE" w:rsidRDefault="008D47D3" w:rsidP="00E775EE">
            <w:pPr>
              <w:rPr>
                <w:sz w:val="24"/>
                <w:szCs w:val="24"/>
                <w:lang w:val="sr-Cyrl-CS"/>
              </w:rPr>
            </w:pPr>
            <w:r w:rsidRPr="002D43DE">
              <w:rPr>
                <w:b/>
                <w:bCs/>
                <w:sz w:val="24"/>
                <w:szCs w:val="24"/>
                <w:lang w:val="sr-Cyrl-CS"/>
              </w:rPr>
              <w:t>Статус предмета</w:t>
            </w:r>
          </w:p>
        </w:tc>
        <w:tc>
          <w:tcPr>
            <w:tcW w:w="7117" w:type="dxa"/>
            <w:gridSpan w:val="6"/>
          </w:tcPr>
          <w:p w14:paraId="3895C0EC" w14:textId="76ED1E12" w:rsidR="008D47D3" w:rsidRPr="00373550" w:rsidRDefault="00373550" w:rsidP="00E775EE">
            <w:pPr>
              <w:rPr>
                <w:bCs/>
                <w:sz w:val="24"/>
                <w:szCs w:val="24"/>
                <w:lang w:val="sr-Latn-RS"/>
              </w:rPr>
            </w:pPr>
            <w:r>
              <w:rPr>
                <w:bCs/>
                <w:sz w:val="24"/>
                <w:szCs w:val="24"/>
                <w:lang w:val="sr-Latn-RS"/>
              </w:rPr>
              <w:t>Obavezni</w:t>
            </w:r>
          </w:p>
        </w:tc>
      </w:tr>
      <w:tr w:rsidR="008D47D3" w:rsidRPr="002D43DE" w14:paraId="3C056231" w14:textId="77777777" w:rsidTr="00373550">
        <w:trPr>
          <w:trHeight w:val="232"/>
        </w:trPr>
        <w:tc>
          <w:tcPr>
            <w:tcW w:w="2171" w:type="dxa"/>
            <w:gridSpan w:val="2"/>
          </w:tcPr>
          <w:p w14:paraId="60A02E83" w14:textId="77777777" w:rsidR="008D47D3" w:rsidRPr="002D43DE" w:rsidRDefault="008D47D3" w:rsidP="00E775EE">
            <w:pPr>
              <w:rPr>
                <w:sz w:val="24"/>
                <w:szCs w:val="24"/>
                <w:lang w:val="sr-Cyrl-CS"/>
              </w:rPr>
            </w:pPr>
            <w:r w:rsidRPr="002D43DE">
              <w:rPr>
                <w:b/>
                <w:bCs/>
                <w:sz w:val="24"/>
                <w:szCs w:val="24"/>
                <w:lang w:val="sr-Cyrl-CS"/>
              </w:rPr>
              <w:t>Број ЕСПБ</w:t>
            </w:r>
          </w:p>
        </w:tc>
        <w:tc>
          <w:tcPr>
            <w:tcW w:w="7117" w:type="dxa"/>
            <w:gridSpan w:val="6"/>
          </w:tcPr>
          <w:p w14:paraId="7C253F96" w14:textId="34DCFEB5" w:rsidR="008D47D3" w:rsidRPr="00373550" w:rsidRDefault="00373550" w:rsidP="00E775EE">
            <w:pPr>
              <w:rPr>
                <w:bCs/>
                <w:sz w:val="24"/>
                <w:szCs w:val="24"/>
                <w:lang w:val="sr-Latn-RS"/>
              </w:rPr>
            </w:pPr>
            <w:r>
              <w:rPr>
                <w:bCs/>
                <w:sz w:val="24"/>
                <w:szCs w:val="24"/>
                <w:lang w:val="sr-Latn-RS"/>
              </w:rPr>
              <w:t>7</w:t>
            </w:r>
          </w:p>
        </w:tc>
      </w:tr>
      <w:tr w:rsidR="008D47D3" w:rsidRPr="002D43DE" w14:paraId="795A5621" w14:textId="77777777" w:rsidTr="00373550">
        <w:trPr>
          <w:trHeight w:val="232"/>
        </w:trPr>
        <w:tc>
          <w:tcPr>
            <w:tcW w:w="2171" w:type="dxa"/>
            <w:gridSpan w:val="2"/>
          </w:tcPr>
          <w:p w14:paraId="3594BFA7" w14:textId="77777777" w:rsidR="008D47D3" w:rsidRPr="002D43DE" w:rsidRDefault="008D47D3" w:rsidP="00E775EE">
            <w:pPr>
              <w:rPr>
                <w:b/>
                <w:bCs/>
                <w:sz w:val="24"/>
                <w:szCs w:val="24"/>
                <w:lang w:val="sr-Cyrl-CS"/>
              </w:rPr>
            </w:pPr>
          </w:p>
        </w:tc>
        <w:tc>
          <w:tcPr>
            <w:tcW w:w="7117" w:type="dxa"/>
            <w:gridSpan w:val="6"/>
          </w:tcPr>
          <w:p w14:paraId="268938F2" w14:textId="77777777" w:rsidR="008D47D3" w:rsidRPr="002D43DE" w:rsidRDefault="008D47D3" w:rsidP="00E775EE">
            <w:pPr>
              <w:rPr>
                <w:bCs/>
                <w:sz w:val="24"/>
                <w:szCs w:val="24"/>
                <w:lang w:val="sr-Cyrl-RS"/>
              </w:rPr>
            </w:pPr>
          </w:p>
        </w:tc>
      </w:tr>
      <w:tr w:rsidR="000E1B24" w:rsidRPr="002D43DE" w14:paraId="0B371ACE" w14:textId="77777777" w:rsidTr="0019398C">
        <w:tc>
          <w:tcPr>
            <w:tcW w:w="9288" w:type="dxa"/>
            <w:gridSpan w:val="8"/>
          </w:tcPr>
          <w:p w14:paraId="19A7355D" w14:textId="01A79A2B" w:rsidR="000E1B24" w:rsidRDefault="000E1B24" w:rsidP="000E1B24">
            <w:pPr>
              <w:rPr>
                <w:b/>
                <w:bCs/>
                <w:sz w:val="24"/>
                <w:szCs w:val="24"/>
                <w:lang w:val="sr-Cyrl-RS"/>
              </w:rPr>
            </w:pPr>
            <w:r w:rsidRPr="002D43DE">
              <w:rPr>
                <w:b/>
                <w:bCs/>
                <w:sz w:val="24"/>
                <w:szCs w:val="24"/>
                <w:lang w:val="sr-Cyrl-RS"/>
              </w:rPr>
              <w:t>Циљ предмета:</w:t>
            </w:r>
          </w:p>
          <w:p w14:paraId="3EB6F08D" w14:textId="6C459904" w:rsidR="004358CB" w:rsidRPr="002D43DE" w:rsidRDefault="00373550" w:rsidP="00373550">
            <w:pPr>
              <w:jc w:val="both"/>
              <w:rPr>
                <w:b/>
                <w:bCs/>
                <w:sz w:val="24"/>
                <w:szCs w:val="24"/>
                <w:lang w:val="sr-Cyrl-RS"/>
              </w:rPr>
            </w:pPr>
            <w:r>
              <w:t>Po završetku procesa učenja u okviru predmeta Međunarodno poslovno finansiranje, studenti će biti u stanju da definišu osnovne pojmove, karakteristike i specifičnosti međunarodnog poslovnog finansiranja, kao i da analiziraju mogućnosti i prave razliku između instrumenata koji privrednim subjektima stoje na raspolaganju u međunarodnom okruženju. Pored toga, cilj je da studenti nakon položenog predmeta znaju da identifikuju načine obezbeđivanja potrebnih iznosa sredstava i izvrše odabir najpovoljnije strukture sredstava iz međunarodnih izvora koja su potrebna za ostvarivanje poslovnih poduhvata. Takođe cilj je da studenti znaju da izvrše odabir najracionalnijeg ulaganja slobodnih sredstava kroz međunarodne transakcije, analiziraju tokove kapitala u međunarodnim okvirima, razumeju ulogu i značaj vodećih međunarodnih organizacija i ulogu deviznog kursa i deviznog sistema zemlje u međunarodnom poslovnom finansiranju.</w:t>
            </w:r>
          </w:p>
        </w:tc>
      </w:tr>
      <w:tr w:rsidR="000E1B24" w:rsidRPr="002D43DE" w14:paraId="1A6596EA" w14:textId="77777777" w:rsidTr="0019398C">
        <w:tc>
          <w:tcPr>
            <w:tcW w:w="9288" w:type="dxa"/>
            <w:gridSpan w:val="8"/>
          </w:tcPr>
          <w:p w14:paraId="5C0C128C" w14:textId="77777777" w:rsidR="000E1B24" w:rsidRPr="002D43DE" w:rsidRDefault="000E1B24" w:rsidP="000E1B24">
            <w:pPr>
              <w:rPr>
                <w:b/>
                <w:bCs/>
                <w:sz w:val="24"/>
                <w:szCs w:val="24"/>
                <w:lang w:val="sr-Cyrl-RS"/>
              </w:rPr>
            </w:pPr>
            <w:r w:rsidRPr="002D43DE">
              <w:rPr>
                <w:b/>
                <w:bCs/>
                <w:sz w:val="24"/>
                <w:szCs w:val="24"/>
                <w:lang w:val="sr-Cyrl-RS"/>
              </w:rPr>
              <w:t>Исход предмета:</w:t>
            </w:r>
          </w:p>
          <w:p w14:paraId="56306A29" w14:textId="18F78F6A" w:rsidR="004358CB" w:rsidRPr="002D43DE" w:rsidRDefault="00373550" w:rsidP="000E1B24">
            <w:pPr>
              <w:rPr>
                <w:b/>
                <w:bCs/>
                <w:sz w:val="24"/>
                <w:szCs w:val="24"/>
                <w:lang w:val="sr-Cyrl-RS"/>
              </w:rPr>
            </w:pPr>
            <w:r>
              <w:t xml:space="preserve">Stečeno znanje iz ove oblasti omogućava studentima da: </w:t>
            </w:r>
            <w:r>
              <w:br/>
              <w:t>• razumeju suštinu i promene deviznih kurseva,</w:t>
            </w:r>
            <w:r>
              <w:br/>
              <w:t xml:space="preserve">• analiziraju organizaciju i rad međunarodnih finansijskih organizacija, </w:t>
            </w:r>
            <w:r>
              <w:br/>
              <w:t xml:space="preserve">• anaiziraju međunarodne tokove kapitala, </w:t>
            </w:r>
            <w:r>
              <w:br/>
              <w:t>• sagledaju mogućnosti obezbeđivanja sredstava i njihove alokacije u okviru međunarodnog poslovnog finansiranja.</w:t>
            </w:r>
          </w:p>
        </w:tc>
      </w:tr>
      <w:tr w:rsidR="000E1B24" w:rsidRPr="002D43DE" w14:paraId="61EC5B4A" w14:textId="77777777" w:rsidTr="0019398C">
        <w:tc>
          <w:tcPr>
            <w:tcW w:w="9288" w:type="dxa"/>
            <w:gridSpan w:val="8"/>
          </w:tcPr>
          <w:p w14:paraId="465B57B0" w14:textId="450C218B" w:rsidR="000E1B24" w:rsidRDefault="000E1B24" w:rsidP="000E1B24">
            <w:pPr>
              <w:rPr>
                <w:b/>
                <w:bCs/>
                <w:sz w:val="24"/>
                <w:szCs w:val="24"/>
                <w:lang w:val="sr-Cyrl-RS"/>
              </w:rPr>
            </w:pPr>
            <w:r w:rsidRPr="002D43DE">
              <w:rPr>
                <w:b/>
                <w:bCs/>
                <w:sz w:val="24"/>
                <w:szCs w:val="24"/>
                <w:lang w:val="sr-Cyrl-RS"/>
              </w:rPr>
              <w:t>Садржај предмета:</w:t>
            </w:r>
          </w:p>
          <w:p w14:paraId="393FDC1F" w14:textId="54B16783" w:rsidR="004358CB" w:rsidRPr="002D43DE" w:rsidRDefault="00373550" w:rsidP="00373550">
            <w:pPr>
              <w:rPr>
                <w:b/>
                <w:bCs/>
                <w:sz w:val="24"/>
                <w:szCs w:val="24"/>
                <w:lang w:val="sr-Cyrl-RS"/>
              </w:rPr>
            </w:pPr>
            <w:r>
              <w:t>Teorijska nastava</w:t>
            </w:r>
            <w:r>
              <w:br/>
              <w:t>• Devizni sistem.</w:t>
            </w:r>
            <w:r>
              <w:br/>
              <w:t>• Deviznikurs – teorijske koncepcije.</w:t>
            </w:r>
            <w:r>
              <w:br/>
              <w:t>• Devizno tržište (faktori koji određuju devizni kurs u dugom i kratkom roku, fiksni i fluktuirajući kursevi – prednosti i slabosti).</w:t>
            </w:r>
            <w:r>
              <w:br/>
              <w:t>• Međunarodni finansijski sistem.</w:t>
            </w:r>
            <w:r>
              <w:br/>
              <w:t>• MMF i Svetska banka.</w:t>
            </w:r>
            <w:r>
              <w:br/>
              <w:t>• Međunarodno kretanje kapitala.</w:t>
            </w:r>
            <w:r>
              <w:br/>
              <w:t>• Osiguranje i kreditiranje izvoznih poslova.</w:t>
            </w:r>
            <w:r>
              <w:br/>
              <w:t>• Evrotržište.</w:t>
            </w:r>
            <w:r>
              <w:br/>
              <w:t>• Kreditiranje izvoznih poslova.</w:t>
            </w:r>
            <w:r>
              <w:br/>
              <w:t>• Valutne krize, špekulativni napadi i problemi međunarodne zaduženosti.</w:t>
            </w:r>
            <w:r>
              <w:br/>
              <w:t>• Zajednička ulaganja kapitala.</w:t>
            </w:r>
          </w:p>
        </w:tc>
      </w:tr>
      <w:tr w:rsidR="008D47D3" w:rsidRPr="002D43DE" w14:paraId="49E38F5C" w14:textId="77777777" w:rsidTr="0019398C">
        <w:tc>
          <w:tcPr>
            <w:tcW w:w="9288" w:type="dxa"/>
            <w:gridSpan w:val="8"/>
          </w:tcPr>
          <w:p w14:paraId="43771168" w14:textId="77777777"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14:paraId="5D450ED1" w14:textId="77777777" w:rsidTr="00373550">
        <w:tc>
          <w:tcPr>
            <w:tcW w:w="1045" w:type="dxa"/>
          </w:tcPr>
          <w:p w14:paraId="39FF8853" w14:textId="77777777"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243" w:type="dxa"/>
            <w:gridSpan w:val="7"/>
          </w:tcPr>
          <w:p w14:paraId="1B1DB212" w14:textId="77777777"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14:paraId="4B90A86F" w14:textId="77777777" w:rsidTr="00373550">
        <w:trPr>
          <w:trHeight w:val="251"/>
        </w:trPr>
        <w:tc>
          <w:tcPr>
            <w:tcW w:w="1045" w:type="dxa"/>
          </w:tcPr>
          <w:p w14:paraId="3D563D32" w14:textId="77777777" w:rsidR="00033B98" w:rsidRPr="002D43DE" w:rsidRDefault="00033B98" w:rsidP="00033B98">
            <w:pPr>
              <w:overflowPunct w:val="0"/>
              <w:jc w:val="right"/>
              <w:textAlignment w:val="baseline"/>
              <w:rPr>
                <w:b/>
                <w:bCs/>
                <w:sz w:val="24"/>
                <w:szCs w:val="24"/>
                <w:lang w:val="sr-Cyrl-RS"/>
              </w:rPr>
            </w:pPr>
            <w:bookmarkStart w:id="0" w:name="_GoBack" w:colFirst="1" w:colLast="1"/>
            <w:r w:rsidRPr="002D43DE">
              <w:rPr>
                <w:b/>
                <w:bCs/>
                <w:sz w:val="24"/>
                <w:szCs w:val="24"/>
                <w:lang w:val="sr-Cyrl-RS"/>
              </w:rPr>
              <w:t>1.</w:t>
            </w:r>
          </w:p>
        </w:tc>
        <w:tc>
          <w:tcPr>
            <w:tcW w:w="8243" w:type="dxa"/>
            <w:gridSpan w:val="7"/>
          </w:tcPr>
          <w:p w14:paraId="307675C4" w14:textId="237C2784" w:rsidR="00033B98" w:rsidRPr="00D95953" w:rsidRDefault="00D95953" w:rsidP="00E775EE">
            <w:pPr>
              <w:overflowPunct w:val="0"/>
              <w:jc w:val="both"/>
              <w:textAlignment w:val="baseline"/>
              <w:rPr>
                <w:sz w:val="24"/>
                <w:szCs w:val="24"/>
                <w:lang w:val="sr-Cyrl-RS"/>
              </w:rPr>
            </w:pPr>
            <w:r w:rsidRPr="00D95953">
              <w:rPr>
                <w:sz w:val="24"/>
                <w:szCs w:val="24"/>
                <w:lang w:val="sr-Latn-RS"/>
              </w:rPr>
              <w:t>Uvodno predavanje</w:t>
            </w:r>
          </w:p>
        </w:tc>
      </w:tr>
      <w:tr w:rsidR="00033B98" w:rsidRPr="002D43DE" w14:paraId="355CD62A" w14:textId="77777777" w:rsidTr="00373550">
        <w:trPr>
          <w:trHeight w:val="238"/>
        </w:trPr>
        <w:tc>
          <w:tcPr>
            <w:tcW w:w="1045" w:type="dxa"/>
          </w:tcPr>
          <w:p w14:paraId="079A8810"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243" w:type="dxa"/>
            <w:gridSpan w:val="7"/>
          </w:tcPr>
          <w:p w14:paraId="4E628A34" w14:textId="49FA92CA" w:rsidR="00033B98" w:rsidRPr="00D95953" w:rsidRDefault="00D95953" w:rsidP="00D95953">
            <w:pPr>
              <w:jc w:val="both"/>
              <w:rPr>
                <w:sz w:val="24"/>
                <w:szCs w:val="24"/>
                <w:lang w:val="sr-Latn-RS"/>
              </w:rPr>
            </w:pPr>
            <w:r w:rsidRPr="00D95953">
              <w:rPr>
                <w:sz w:val="24"/>
                <w:szCs w:val="24"/>
                <w:lang w:val="sr-Latn-RS"/>
              </w:rPr>
              <w:t xml:space="preserve">Devizno tržište i devizni kursevi, </w:t>
            </w:r>
          </w:p>
        </w:tc>
      </w:tr>
      <w:tr w:rsidR="00033B98" w:rsidRPr="002D43DE" w14:paraId="13C8BF06" w14:textId="77777777" w:rsidTr="00373550">
        <w:trPr>
          <w:trHeight w:val="238"/>
        </w:trPr>
        <w:tc>
          <w:tcPr>
            <w:tcW w:w="1045" w:type="dxa"/>
          </w:tcPr>
          <w:p w14:paraId="4590EAF7"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243" w:type="dxa"/>
            <w:gridSpan w:val="7"/>
          </w:tcPr>
          <w:p w14:paraId="6392DA2C" w14:textId="78CE8EB6" w:rsidR="00033B98" w:rsidRPr="00D95953" w:rsidRDefault="00D95953" w:rsidP="00E775EE">
            <w:pPr>
              <w:overflowPunct w:val="0"/>
              <w:jc w:val="both"/>
              <w:textAlignment w:val="baseline"/>
              <w:rPr>
                <w:sz w:val="24"/>
                <w:szCs w:val="24"/>
                <w:lang w:val="sr-Cyrl-RS"/>
              </w:rPr>
            </w:pPr>
            <w:r w:rsidRPr="00D95953">
              <w:rPr>
                <w:sz w:val="24"/>
                <w:szCs w:val="24"/>
                <w:lang w:val="sr-Latn-RS"/>
              </w:rPr>
              <w:t>Terminski devizni kurs, rizici deviznog kursa, kamatna arbitraža (pokrivena i nepokrivena)</w:t>
            </w:r>
          </w:p>
        </w:tc>
      </w:tr>
      <w:tr w:rsidR="00033B98" w:rsidRPr="002D43DE" w14:paraId="11340054" w14:textId="77777777" w:rsidTr="00373550">
        <w:trPr>
          <w:trHeight w:val="238"/>
        </w:trPr>
        <w:tc>
          <w:tcPr>
            <w:tcW w:w="1045" w:type="dxa"/>
          </w:tcPr>
          <w:p w14:paraId="17551862"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243" w:type="dxa"/>
            <w:gridSpan w:val="7"/>
          </w:tcPr>
          <w:p w14:paraId="36951ADA" w14:textId="00ECA36E" w:rsidR="00033B98" w:rsidRPr="00D95953" w:rsidRDefault="00D95953" w:rsidP="00E775EE">
            <w:pPr>
              <w:overflowPunct w:val="0"/>
              <w:jc w:val="both"/>
              <w:textAlignment w:val="baseline"/>
              <w:rPr>
                <w:sz w:val="24"/>
                <w:szCs w:val="24"/>
                <w:lang w:val="sr-Cyrl-RS"/>
              </w:rPr>
            </w:pPr>
            <w:r w:rsidRPr="00D95953">
              <w:rPr>
                <w:sz w:val="24"/>
                <w:szCs w:val="24"/>
                <w:lang w:val="sr-Latn-RS"/>
              </w:rPr>
              <w:t>Platni bilans, osnovni računi platnog bilansa, međunarodna investiciona pozicija</w:t>
            </w:r>
          </w:p>
        </w:tc>
      </w:tr>
      <w:tr w:rsidR="00033B98" w:rsidRPr="002D43DE" w14:paraId="6691EFEB" w14:textId="77777777" w:rsidTr="00373550">
        <w:trPr>
          <w:trHeight w:val="238"/>
        </w:trPr>
        <w:tc>
          <w:tcPr>
            <w:tcW w:w="1045" w:type="dxa"/>
          </w:tcPr>
          <w:p w14:paraId="12FD55E8"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243" w:type="dxa"/>
            <w:gridSpan w:val="7"/>
          </w:tcPr>
          <w:p w14:paraId="1BD57263" w14:textId="5B88C0D2" w:rsidR="00033B98" w:rsidRPr="00D95953" w:rsidRDefault="00D95953" w:rsidP="00E775EE">
            <w:pPr>
              <w:overflowPunct w:val="0"/>
              <w:jc w:val="both"/>
              <w:textAlignment w:val="baseline"/>
              <w:rPr>
                <w:sz w:val="24"/>
                <w:szCs w:val="24"/>
                <w:lang w:val="sr-Cyrl-RS"/>
              </w:rPr>
            </w:pPr>
            <w:r w:rsidRPr="00D95953">
              <w:rPr>
                <w:sz w:val="24"/>
                <w:szCs w:val="24"/>
                <w:lang w:val="sr-Latn-RS"/>
              </w:rPr>
              <w:t>Nominanlni i efektivni devizni kurs, sistemi deviznih kurseva</w:t>
            </w:r>
          </w:p>
        </w:tc>
      </w:tr>
      <w:tr w:rsidR="00033B98" w:rsidRPr="002D43DE" w14:paraId="34578B47" w14:textId="77777777" w:rsidTr="00373550">
        <w:trPr>
          <w:trHeight w:val="238"/>
        </w:trPr>
        <w:tc>
          <w:tcPr>
            <w:tcW w:w="1045" w:type="dxa"/>
          </w:tcPr>
          <w:p w14:paraId="07ADEDCE"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243" w:type="dxa"/>
            <w:gridSpan w:val="7"/>
          </w:tcPr>
          <w:p w14:paraId="3688ACBC" w14:textId="6D1FE103" w:rsidR="00033B98" w:rsidRPr="00D95953" w:rsidRDefault="00D95953" w:rsidP="00D95953">
            <w:pPr>
              <w:jc w:val="both"/>
              <w:rPr>
                <w:sz w:val="24"/>
                <w:szCs w:val="24"/>
                <w:lang w:val="sr-Latn-RS"/>
              </w:rPr>
            </w:pPr>
            <w:r w:rsidRPr="00D95953">
              <w:rPr>
                <w:sz w:val="24"/>
                <w:szCs w:val="24"/>
                <w:lang w:val="sr-Latn-RS"/>
              </w:rPr>
              <w:t>Teorija pariteta kupovnih snaga, zlatni standard, Bretonvudski sistem</w:t>
            </w:r>
          </w:p>
        </w:tc>
      </w:tr>
      <w:tr w:rsidR="00033B98" w:rsidRPr="002D43DE" w14:paraId="32C55706" w14:textId="77777777" w:rsidTr="00373550">
        <w:trPr>
          <w:trHeight w:val="238"/>
        </w:trPr>
        <w:tc>
          <w:tcPr>
            <w:tcW w:w="1045" w:type="dxa"/>
          </w:tcPr>
          <w:p w14:paraId="1D86FA9D"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243" w:type="dxa"/>
            <w:gridSpan w:val="7"/>
          </w:tcPr>
          <w:p w14:paraId="5E490804" w14:textId="052D8493" w:rsidR="00033B98" w:rsidRPr="00D95953" w:rsidRDefault="00D95953" w:rsidP="00E775EE">
            <w:pPr>
              <w:overflowPunct w:val="0"/>
              <w:jc w:val="both"/>
              <w:textAlignment w:val="baseline"/>
              <w:rPr>
                <w:sz w:val="24"/>
                <w:szCs w:val="24"/>
                <w:lang w:val="sr-Latn-RS"/>
              </w:rPr>
            </w:pPr>
            <w:r w:rsidRPr="00D95953">
              <w:rPr>
                <w:sz w:val="24"/>
                <w:szCs w:val="24"/>
                <w:lang w:val="sr-Latn-RS"/>
              </w:rPr>
              <w:t>Kolokvijum</w:t>
            </w:r>
          </w:p>
        </w:tc>
      </w:tr>
      <w:tr w:rsidR="00033B98" w:rsidRPr="002D43DE" w14:paraId="0A2DC083" w14:textId="77777777" w:rsidTr="00373550">
        <w:trPr>
          <w:trHeight w:val="238"/>
        </w:trPr>
        <w:tc>
          <w:tcPr>
            <w:tcW w:w="1045" w:type="dxa"/>
          </w:tcPr>
          <w:p w14:paraId="57A8454A"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243" w:type="dxa"/>
            <w:gridSpan w:val="7"/>
          </w:tcPr>
          <w:p w14:paraId="6D7705FE" w14:textId="09A3BAD0" w:rsidR="00033B98" w:rsidRPr="00D95953" w:rsidRDefault="00D95953" w:rsidP="00E775EE">
            <w:pPr>
              <w:overflowPunct w:val="0"/>
              <w:jc w:val="both"/>
              <w:textAlignment w:val="baseline"/>
              <w:rPr>
                <w:sz w:val="24"/>
                <w:szCs w:val="24"/>
                <w:lang w:val="sr-Latn-RS"/>
              </w:rPr>
            </w:pPr>
            <w:r w:rsidRPr="00D95953">
              <w:rPr>
                <w:sz w:val="24"/>
                <w:szCs w:val="24"/>
                <w:lang w:val="sr-Latn-RS"/>
              </w:rPr>
              <w:t>Defekti mehanizma stvaranja međunarodne likvidnosti, specijalna prava vučenja, slom Breton-vudskog sistema, evropski monetarni sistem</w:t>
            </w:r>
          </w:p>
        </w:tc>
      </w:tr>
      <w:tr w:rsidR="00033B98" w:rsidRPr="002D43DE" w14:paraId="33E483A8" w14:textId="77777777" w:rsidTr="00373550">
        <w:trPr>
          <w:trHeight w:val="238"/>
        </w:trPr>
        <w:tc>
          <w:tcPr>
            <w:tcW w:w="1045" w:type="dxa"/>
          </w:tcPr>
          <w:p w14:paraId="183F0FF9"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9.</w:t>
            </w:r>
          </w:p>
        </w:tc>
        <w:tc>
          <w:tcPr>
            <w:tcW w:w="8243" w:type="dxa"/>
            <w:gridSpan w:val="7"/>
          </w:tcPr>
          <w:p w14:paraId="465487A4" w14:textId="5EA60170" w:rsidR="00033B98" w:rsidRPr="00D95953" w:rsidRDefault="0010779D" w:rsidP="00E775EE">
            <w:pPr>
              <w:overflowPunct w:val="0"/>
              <w:jc w:val="both"/>
              <w:textAlignment w:val="baseline"/>
              <w:rPr>
                <w:sz w:val="24"/>
                <w:szCs w:val="24"/>
                <w:lang w:val="sr-Latn-RS"/>
              </w:rPr>
            </w:pPr>
            <w:r w:rsidRPr="00D95953">
              <w:rPr>
                <w:sz w:val="24"/>
                <w:szCs w:val="24"/>
                <w:lang w:val="sr-Latn-RS"/>
              </w:rPr>
              <w:t>Optimalno valutno područje, Evropska ekonomska i monetarna unija, uvođenje evra</w:t>
            </w:r>
          </w:p>
        </w:tc>
      </w:tr>
      <w:bookmarkEnd w:id="0"/>
      <w:tr w:rsidR="00033B98" w:rsidRPr="002D43DE" w14:paraId="0A9F2C1C" w14:textId="77777777" w:rsidTr="00373550">
        <w:trPr>
          <w:trHeight w:val="238"/>
        </w:trPr>
        <w:tc>
          <w:tcPr>
            <w:tcW w:w="1045" w:type="dxa"/>
          </w:tcPr>
          <w:p w14:paraId="609B9F24"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243" w:type="dxa"/>
            <w:gridSpan w:val="7"/>
          </w:tcPr>
          <w:p w14:paraId="4D35237C" w14:textId="138F6D25" w:rsidR="00033B98" w:rsidRPr="00D95953" w:rsidRDefault="00791784" w:rsidP="00E775EE">
            <w:pPr>
              <w:overflowPunct w:val="0"/>
              <w:jc w:val="both"/>
              <w:textAlignment w:val="baseline"/>
              <w:rPr>
                <w:sz w:val="24"/>
                <w:szCs w:val="24"/>
                <w:lang w:val="sr-Latn-RS"/>
              </w:rPr>
            </w:pPr>
            <w:r w:rsidRPr="00D95953">
              <w:rPr>
                <w:sz w:val="24"/>
                <w:szCs w:val="24"/>
                <w:lang w:val="sr-Latn-RS"/>
              </w:rPr>
              <w:t>Prolećni raspust</w:t>
            </w:r>
          </w:p>
        </w:tc>
      </w:tr>
      <w:tr w:rsidR="00033B98" w:rsidRPr="002D43DE" w14:paraId="50B951DD" w14:textId="77777777" w:rsidTr="00373550">
        <w:trPr>
          <w:trHeight w:val="238"/>
        </w:trPr>
        <w:tc>
          <w:tcPr>
            <w:tcW w:w="1045" w:type="dxa"/>
          </w:tcPr>
          <w:p w14:paraId="176BDC68"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243" w:type="dxa"/>
            <w:gridSpan w:val="7"/>
          </w:tcPr>
          <w:p w14:paraId="1FF33808" w14:textId="0FBFB66C" w:rsidR="00033B98" w:rsidRPr="00D95953" w:rsidRDefault="00791784" w:rsidP="00E775EE">
            <w:pPr>
              <w:overflowPunct w:val="0"/>
              <w:jc w:val="both"/>
              <w:textAlignment w:val="baseline"/>
              <w:rPr>
                <w:sz w:val="24"/>
                <w:szCs w:val="24"/>
                <w:lang w:val="sr-Latn-RS"/>
              </w:rPr>
            </w:pPr>
            <w:r w:rsidRPr="00D95953">
              <w:rPr>
                <w:sz w:val="24"/>
                <w:szCs w:val="24"/>
                <w:lang w:val="sr-Latn-RS"/>
              </w:rPr>
              <w:t>Mehanizam fiksiranja deviznih kurseva (ERM 2), evroski sistem centralnih banaka, da li je EU optimalno valutno poručje</w:t>
            </w:r>
          </w:p>
        </w:tc>
      </w:tr>
      <w:tr w:rsidR="00033B98" w:rsidRPr="002D43DE" w14:paraId="7ECF784E" w14:textId="77777777" w:rsidTr="00373550">
        <w:trPr>
          <w:trHeight w:val="238"/>
        </w:trPr>
        <w:tc>
          <w:tcPr>
            <w:tcW w:w="1045" w:type="dxa"/>
          </w:tcPr>
          <w:p w14:paraId="708665A5"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243" w:type="dxa"/>
            <w:gridSpan w:val="7"/>
          </w:tcPr>
          <w:p w14:paraId="6EF66D64" w14:textId="7CF58466" w:rsidR="00033B98" w:rsidRPr="00D95953" w:rsidRDefault="00791784" w:rsidP="00E775EE">
            <w:pPr>
              <w:overflowPunct w:val="0"/>
              <w:jc w:val="both"/>
              <w:textAlignment w:val="baseline"/>
              <w:rPr>
                <w:sz w:val="24"/>
                <w:szCs w:val="24"/>
                <w:lang w:val="sr-Latn-RS"/>
              </w:rPr>
            </w:pPr>
            <w:r w:rsidRPr="00D95953">
              <w:rPr>
                <w:sz w:val="24"/>
                <w:szCs w:val="24"/>
                <w:lang w:val="sr-Latn-RS"/>
              </w:rPr>
              <w:t>Međunarodno tržište kapitala, ekonoski efektikretanja kapitala</w:t>
            </w:r>
          </w:p>
        </w:tc>
      </w:tr>
      <w:tr w:rsidR="00033B98" w:rsidRPr="002D43DE" w14:paraId="042C8205" w14:textId="77777777" w:rsidTr="00373550">
        <w:trPr>
          <w:trHeight w:val="238"/>
        </w:trPr>
        <w:tc>
          <w:tcPr>
            <w:tcW w:w="1045" w:type="dxa"/>
          </w:tcPr>
          <w:p w14:paraId="78474696"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243" w:type="dxa"/>
            <w:gridSpan w:val="7"/>
          </w:tcPr>
          <w:p w14:paraId="616BEB3E" w14:textId="407EA200" w:rsidR="00033B98" w:rsidRPr="00D95953" w:rsidRDefault="00791784" w:rsidP="00E775EE">
            <w:pPr>
              <w:overflowPunct w:val="0"/>
              <w:jc w:val="both"/>
              <w:textAlignment w:val="baseline"/>
              <w:rPr>
                <w:sz w:val="24"/>
                <w:szCs w:val="24"/>
                <w:lang w:val="sr-Latn-RS"/>
              </w:rPr>
            </w:pPr>
            <w:r w:rsidRPr="00D95953">
              <w:rPr>
                <w:sz w:val="24"/>
                <w:szCs w:val="24"/>
                <w:lang w:val="sr-Latn-RS"/>
              </w:rPr>
              <w:t>Pojam i vidovi finansijskih kriza, uzroci kriza, modeli vaultnih kriza</w:t>
            </w:r>
          </w:p>
        </w:tc>
      </w:tr>
      <w:tr w:rsidR="00033B98" w:rsidRPr="002D43DE" w14:paraId="17F5D0C5" w14:textId="77777777" w:rsidTr="00373550">
        <w:trPr>
          <w:trHeight w:val="238"/>
        </w:trPr>
        <w:tc>
          <w:tcPr>
            <w:tcW w:w="1045" w:type="dxa"/>
          </w:tcPr>
          <w:p w14:paraId="3A849AC9"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243" w:type="dxa"/>
            <w:gridSpan w:val="7"/>
          </w:tcPr>
          <w:p w14:paraId="0C32E7DD" w14:textId="1A46BDF6" w:rsidR="00033B98" w:rsidRPr="00D95953" w:rsidRDefault="00791784" w:rsidP="00E775EE">
            <w:pPr>
              <w:overflowPunct w:val="0"/>
              <w:jc w:val="both"/>
              <w:textAlignment w:val="baseline"/>
              <w:rPr>
                <w:sz w:val="24"/>
                <w:szCs w:val="24"/>
                <w:lang w:val="sr-Latn-RS"/>
              </w:rPr>
            </w:pPr>
            <w:r w:rsidRPr="00D95953">
              <w:rPr>
                <w:sz w:val="24"/>
                <w:szCs w:val="24"/>
                <w:lang w:val="sr-Latn-RS"/>
              </w:rPr>
              <w:t>Finansijske krize u zemljama u razvoju</w:t>
            </w:r>
          </w:p>
        </w:tc>
      </w:tr>
      <w:tr w:rsidR="00033B98" w:rsidRPr="002D43DE" w14:paraId="72C2E98B" w14:textId="77777777" w:rsidTr="00373550">
        <w:trPr>
          <w:trHeight w:val="238"/>
        </w:trPr>
        <w:tc>
          <w:tcPr>
            <w:tcW w:w="1045" w:type="dxa"/>
          </w:tcPr>
          <w:p w14:paraId="4C56D3FB" w14:textId="77777777"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243" w:type="dxa"/>
            <w:gridSpan w:val="7"/>
          </w:tcPr>
          <w:p w14:paraId="3A0F29C9" w14:textId="263D16FB" w:rsidR="00033B98" w:rsidRPr="00D95953" w:rsidRDefault="00791784" w:rsidP="00E775EE">
            <w:pPr>
              <w:overflowPunct w:val="0"/>
              <w:jc w:val="both"/>
              <w:textAlignment w:val="baseline"/>
              <w:rPr>
                <w:sz w:val="24"/>
                <w:szCs w:val="24"/>
                <w:lang w:val="sr-Latn-RS"/>
              </w:rPr>
            </w:pPr>
            <w:r w:rsidRPr="00D95953">
              <w:rPr>
                <w:sz w:val="24"/>
                <w:szCs w:val="24"/>
                <w:lang w:val="sr-Latn-RS"/>
              </w:rPr>
              <w:t>Test za aktivnost i podela potpisa</w:t>
            </w:r>
          </w:p>
        </w:tc>
      </w:tr>
      <w:tr w:rsidR="008D47D3" w:rsidRPr="002D43DE" w14:paraId="002A1046" w14:textId="77777777" w:rsidTr="0019398C">
        <w:tc>
          <w:tcPr>
            <w:tcW w:w="9288" w:type="dxa"/>
            <w:gridSpan w:val="8"/>
          </w:tcPr>
          <w:p w14:paraId="3A867E6B" w14:textId="1D2431BC" w:rsidR="008D47D3" w:rsidRDefault="008D47D3" w:rsidP="00E775EE">
            <w:pPr>
              <w:jc w:val="both"/>
              <w:rPr>
                <w:b/>
                <w:bCs/>
                <w:sz w:val="24"/>
                <w:szCs w:val="24"/>
                <w:lang w:val="sr-Cyrl-CS"/>
              </w:rPr>
            </w:pPr>
            <w:r w:rsidRPr="002D43DE">
              <w:rPr>
                <w:b/>
                <w:bCs/>
                <w:sz w:val="24"/>
                <w:szCs w:val="24"/>
                <w:lang w:val="sr-Cyrl-CS"/>
              </w:rPr>
              <w:t xml:space="preserve">Литература </w:t>
            </w:r>
          </w:p>
          <w:p w14:paraId="1094B3D2" w14:textId="0E247517" w:rsidR="00373550" w:rsidRPr="00373550" w:rsidRDefault="00373550" w:rsidP="00E775EE">
            <w:pPr>
              <w:jc w:val="both"/>
              <w:rPr>
                <w:sz w:val="24"/>
                <w:szCs w:val="24"/>
                <w:lang w:val="sr-Latn-RS"/>
              </w:rPr>
            </w:pPr>
            <w:r w:rsidRPr="00373550">
              <w:rPr>
                <w:sz w:val="24"/>
                <w:szCs w:val="24"/>
                <w:lang w:val="sr-Latn-RS"/>
              </w:rPr>
              <w:t>Radovan Kovačević (2010) Međunarodne finansije. CID Ekonomski fakultet u Beogradu</w:t>
            </w:r>
          </w:p>
          <w:p w14:paraId="54ACB1B3" w14:textId="77777777" w:rsidR="008D47D3" w:rsidRPr="002D43DE" w:rsidRDefault="008D47D3" w:rsidP="00E775EE">
            <w:pPr>
              <w:widowControl/>
              <w:autoSpaceDE/>
              <w:autoSpaceDN/>
              <w:adjustRightInd/>
              <w:jc w:val="both"/>
              <w:rPr>
                <w:sz w:val="24"/>
                <w:szCs w:val="24"/>
                <w:lang w:val="sr-Latn-RS"/>
              </w:rPr>
            </w:pPr>
          </w:p>
        </w:tc>
      </w:tr>
      <w:tr w:rsidR="008D47D3" w:rsidRPr="002D43DE" w14:paraId="60E51171" w14:textId="77777777" w:rsidTr="00373550">
        <w:tc>
          <w:tcPr>
            <w:tcW w:w="3108" w:type="dxa"/>
            <w:gridSpan w:val="3"/>
          </w:tcPr>
          <w:p w14:paraId="68BF04A6" w14:textId="619FA403" w:rsidR="008D47D3" w:rsidRPr="00373550" w:rsidRDefault="008D47D3" w:rsidP="00E775EE">
            <w:pPr>
              <w:rPr>
                <w:b/>
                <w:bCs/>
                <w:sz w:val="24"/>
                <w:szCs w:val="24"/>
                <w:lang w:val="sr-Latn-RS"/>
              </w:rPr>
            </w:pPr>
            <w:r w:rsidRPr="002D43DE">
              <w:rPr>
                <w:b/>
                <w:bCs/>
                <w:sz w:val="24"/>
                <w:szCs w:val="24"/>
                <w:lang w:val="sr-Cyrl-CS"/>
              </w:rPr>
              <w:t xml:space="preserve">Број часова </w:t>
            </w:r>
            <w:r w:rsidRPr="002D43DE">
              <w:rPr>
                <w:b/>
                <w:sz w:val="24"/>
                <w:szCs w:val="24"/>
                <w:lang w:val="sr-Cyrl-CS"/>
              </w:rPr>
              <w:t xml:space="preserve"> активне наставе</w:t>
            </w:r>
            <w:r w:rsidR="00373550">
              <w:rPr>
                <w:b/>
                <w:sz w:val="24"/>
                <w:szCs w:val="24"/>
                <w:lang w:val="sr-Latn-RS"/>
              </w:rPr>
              <w:t>: 6</w:t>
            </w:r>
          </w:p>
        </w:tc>
        <w:tc>
          <w:tcPr>
            <w:tcW w:w="3016" w:type="dxa"/>
            <w:gridSpan w:val="2"/>
          </w:tcPr>
          <w:p w14:paraId="03224F7E" w14:textId="4463DF5B" w:rsidR="008D47D3" w:rsidRPr="00373550" w:rsidRDefault="008D47D3" w:rsidP="008D47D3">
            <w:pPr>
              <w:rPr>
                <w:b/>
                <w:bCs/>
                <w:sz w:val="24"/>
                <w:szCs w:val="24"/>
                <w:lang w:val="sr-Latn-RS"/>
              </w:rPr>
            </w:pPr>
            <w:r w:rsidRPr="002D43DE">
              <w:rPr>
                <w:b/>
                <w:sz w:val="24"/>
                <w:szCs w:val="24"/>
                <w:lang w:val="sr-Cyrl-CS"/>
              </w:rPr>
              <w:t xml:space="preserve">Теоријска настава: </w:t>
            </w:r>
            <w:r w:rsidR="00373550">
              <w:rPr>
                <w:b/>
                <w:sz w:val="24"/>
                <w:szCs w:val="24"/>
                <w:lang w:val="sr-Latn-RS"/>
              </w:rPr>
              <w:t>3</w:t>
            </w:r>
          </w:p>
        </w:tc>
        <w:tc>
          <w:tcPr>
            <w:tcW w:w="3164" w:type="dxa"/>
            <w:gridSpan w:val="3"/>
          </w:tcPr>
          <w:p w14:paraId="565047F3" w14:textId="467C7ED9" w:rsidR="008D47D3" w:rsidRPr="00373550" w:rsidRDefault="008D47D3" w:rsidP="008D47D3">
            <w:pPr>
              <w:rPr>
                <w:b/>
                <w:bCs/>
                <w:sz w:val="24"/>
                <w:szCs w:val="24"/>
                <w:lang w:val="sr-Latn-RS"/>
              </w:rPr>
            </w:pPr>
            <w:r w:rsidRPr="002D43DE">
              <w:rPr>
                <w:b/>
                <w:sz w:val="24"/>
                <w:szCs w:val="24"/>
                <w:lang w:val="ru-RU"/>
              </w:rPr>
              <w:t xml:space="preserve">Практична настава: </w:t>
            </w:r>
            <w:r w:rsidR="00373550">
              <w:rPr>
                <w:b/>
                <w:sz w:val="24"/>
                <w:szCs w:val="24"/>
                <w:lang w:val="sr-Latn-RS"/>
              </w:rPr>
              <w:t>3</w:t>
            </w:r>
          </w:p>
        </w:tc>
      </w:tr>
      <w:tr w:rsidR="008D47D3" w:rsidRPr="002D43DE" w14:paraId="4131DC56" w14:textId="77777777" w:rsidTr="0019398C">
        <w:tc>
          <w:tcPr>
            <w:tcW w:w="9288" w:type="dxa"/>
            <w:gridSpan w:val="8"/>
          </w:tcPr>
          <w:p w14:paraId="4EDAF690" w14:textId="77777777"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14:paraId="0A2D0CE8" w14:textId="77777777" w:rsidTr="00373550">
        <w:tc>
          <w:tcPr>
            <w:tcW w:w="4676" w:type="dxa"/>
            <w:gridSpan w:val="4"/>
          </w:tcPr>
          <w:p w14:paraId="30DEA9E8" w14:textId="77777777"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09" w:type="dxa"/>
            <w:gridSpan w:val="2"/>
            <w:vAlign w:val="center"/>
          </w:tcPr>
          <w:p w14:paraId="6928FAE0" w14:textId="6AC28439" w:rsidR="008D47D3" w:rsidRPr="00F447A4" w:rsidRDefault="00F447A4" w:rsidP="00E775EE">
            <w:pPr>
              <w:jc w:val="center"/>
              <w:rPr>
                <w:b/>
                <w:sz w:val="24"/>
                <w:szCs w:val="24"/>
                <w:lang w:val="sr-Latn-RS"/>
              </w:rPr>
            </w:pPr>
            <w:r>
              <w:rPr>
                <w:b/>
                <w:sz w:val="24"/>
                <w:szCs w:val="24"/>
                <w:lang w:val="sr-Latn-RS"/>
              </w:rPr>
              <w:t>45</w:t>
            </w:r>
          </w:p>
        </w:tc>
        <w:tc>
          <w:tcPr>
            <w:tcW w:w="1823" w:type="dxa"/>
            <w:shd w:val="clear" w:color="auto" w:fill="auto"/>
          </w:tcPr>
          <w:p w14:paraId="642D5C28" w14:textId="77777777"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80" w:type="dxa"/>
            <w:shd w:val="clear" w:color="auto" w:fill="auto"/>
            <w:vAlign w:val="center"/>
          </w:tcPr>
          <w:p w14:paraId="3B35633E" w14:textId="05376D0F" w:rsidR="008D47D3" w:rsidRPr="002D43DE" w:rsidRDefault="00F447A4" w:rsidP="00E775EE">
            <w:pPr>
              <w:jc w:val="center"/>
              <w:rPr>
                <w:b/>
                <w:sz w:val="24"/>
                <w:szCs w:val="24"/>
                <w:lang w:val="ru-RU"/>
              </w:rPr>
            </w:pPr>
            <w:r>
              <w:rPr>
                <w:b/>
                <w:sz w:val="24"/>
                <w:szCs w:val="24"/>
                <w:lang w:val="ru-RU"/>
              </w:rPr>
              <w:t>55</w:t>
            </w:r>
          </w:p>
        </w:tc>
      </w:tr>
      <w:tr w:rsidR="008D47D3" w:rsidRPr="002D43DE" w14:paraId="0A54252A" w14:textId="77777777" w:rsidTr="00373550">
        <w:tc>
          <w:tcPr>
            <w:tcW w:w="4676" w:type="dxa"/>
            <w:gridSpan w:val="4"/>
          </w:tcPr>
          <w:p w14:paraId="7D54C96A" w14:textId="77777777"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09" w:type="dxa"/>
            <w:gridSpan w:val="2"/>
            <w:shd w:val="clear" w:color="auto" w:fill="auto"/>
            <w:vAlign w:val="center"/>
          </w:tcPr>
          <w:p w14:paraId="38BFDCFF" w14:textId="311B2E0A" w:rsidR="008D47D3" w:rsidRPr="00373550" w:rsidRDefault="00373550" w:rsidP="00E775EE">
            <w:pPr>
              <w:jc w:val="center"/>
              <w:rPr>
                <w:b/>
                <w:bCs/>
                <w:sz w:val="24"/>
                <w:szCs w:val="24"/>
                <w:lang w:val="sr-Latn-RS"/>
              </w:rPr>
            </w:pPr>
            <w:r>
              <w:rPr>
                <w:b/>
                <w:bCs/>
                <w:sz w:val="24"/>
                <w:szCs w:val="24"/>
                <w:lang w:val="sr-Latn-RS"/>
              </w:rPr>
              <w:t>5</w:t>
            </w:r>
          </w:p>
        </w:tc>
        <w:tc>
          <w:tcPr>
            <w:tcW w:w="1823" w:type="dxa"/>
            <w:shd w:val="clear" w:color="auto" w:fill="auto"/>
          </w:tcPr>
          <w:p w14:paraId="338DF549" w14:textId="77777777" w:rsidR="008D47D3" w:rsidRPr="002D43DE" w:rsidRDefault="008D47D3" w:rsidP="00E775EE">
            <w:pPr>
              <w:rPr>
                <w:i/>
                <w:iCs/>
                <w:sz w:val="24"/>
                <w:szCs w:val="24"/>
                <w:lang w:val="sr-Cyrl-CS"/>
              </w:rPr>
            </w:pPr>
            <w:r w:rsidRPr="002D43DE">
              <w:rPr>
                <w:sz w:val="24"/>
                <w:szCs w:val="24"/>
                <w:lang w:val="sr-Cyrl-CS"/>
              </w:rPr>
              <w:t>писмени испит</w:t>
            </w:r>
          </w:p>
        </w:tc>
        <w:tc>
          <w:tcPr>
            <w:tcW w:w="1180" w:type="dxa"/>
            <w:shd w:val="clear" w:color="auto" w:fill="auto"/>
          </w:tcPr>
          <w:p w14:paraId="6807B268" w14:textId="77777777" w:rsidR="008D47D3" w:rsidRPr="002D43DE" w:rsidRDefault="008D47D3" w:rsidP="00E775EE">
            <w:pPr>
              <w:jc w:val="center"/>
              <w:rPr>
                <w:b/>
                <w:iCs/>
                <w:sz w:val="24"/>
                <w:szCs w:val="24"/>
                <w:lang w:val="sr-Cyrl-CS"/>
              </w:rPr>
            </w:pPr>
          </w:p>
        </w:tc>
      </w:tr>
      <w:tr w:rsidR="008D47D3" w:rsidRPr="002D43DE" w14:paraId="069EB0CD" w14:textId="77777777" w:rsidTr="00373550">
        <w:tc>
          <w:tcPr>
            <w:tcW w:w="4676" w:type="dxa"/>
            <w:gridSpan w:val="4"/>
          </w:tcPr>
          <w:p w14:paraId="59226684" w14:textId="77777777"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09" w:type="dxa"/>
            <w:gridSpan w:val="2"/>
            <w:vAlign w:val="center"/>
          </w:tcPr>
          <w:p w14:paraId="17C3C0E1" w14:textId="7EED0840" w:rsidR="008D47D3" w:rsidRPr="00373550" w:rsidRDefault="00373550" w:rsidP="00E775EE">
            <w:pPr>
              <w:jc w:val="center"/>
              <w:rPr>
                <w:b/>
                <w:bCs/>
                <w:sz w:val="24"/>
                <w:szCs w:val="24"/>
                <w:lang w:val="sr-Latn-RS"/>
              </w:rPr>
            </w:pPr>
            <w:r>
              <w:rPr>
                <w:b/>
                <w:bCs/>
                <w:sz w:val="24"/>
                <w:szCs w:val="24"/>
                <w:lang w:val="sr-Latn-RS"/>
              </w:rPr>
              <w:t>30</w:t>
            </w:r>
          </w:p>
        </w:tc>
        <w:tc>
          <w:tcPr>
            <w:tcW w:w="1823" w:type="dxa"/>
            <w:shd w:val="clear" w:color="auto" w:fill="auto"/>
          </w:tcPr>
          <w:p w14:paraId="4BCB32EE" w14:textId="77777777" w:rsidR="008D47D3" w:rsidRPr="002D43DE" w:rsidRDefault="008D47D3" w:rsidP="00E775EE">
            <w:pPr>
              <w:rPr>
                <w:i/>
                <w:iCs/>
                <w:sz w:val="24"/>
                <w:szCs w:val="24"/>
                <w:lang w:val="sr-Cyrl-CS"/>
              </w:rPr>
            </w:pPr>
            <w:r w:rsidRPr="002D43DE">
              <w:rPr>
                <w:sz w:val="24"/>
                <w:szCs w:val="24"/>
                <w:lang w:val="sr-Cyrl-CS"/>
              </w:rPr>
              <w:t>усмени испит</w:t>
            </w:r>
          </w:p>
        </w:tc>
        <w:tc>
          <w:tcPr>
            <w:tcW w:w="1180" w:type="dxa"/>
            <w:shd w:val="clear" w:color="auto" w:fill="auto"/>
          </w:tcPr>
          <w:p w14:paraId="4D6DC155" w14:textId="77777777" w:rsidR="008D47D3" w:rsidRPr="002D43DE" w:rsidRDefault="008D47D3" w:rsidP="00E775EE">
            <w:pPr>
              <w:jc w:val="center"/>
              <w:rPr>
                <w:i/>
                <w:iCs/>
                <w:sz w:val="24"/>
                <w:szCs w:val="24"/>
                <w:lang w:val="sr-Cyrl-CS"/>
              </w:rPr>
            </w:pPr>
          </w:p>
        </w:tc>
      </w:tr>
      <w:tr w:rsidR="008D47D3" w:rsidRPr="002D43DE" w14:paraId="61BF44FF" w14:textId="77777777" w:rsidTr="00373550">
        <w:tc>
          <w:tcPr>
            <w:tcW w:w="4676" w:type="dxa"/>
            <w:gridSpan w:val="4"/>
          </w:tcPr>
          <w:p w14:paraId="10F15090" w14:textId="1FAEA739" w:rsidR="008D47D3" w:rsidRPr="00F447A4" w:rsidRDefault="00F447A4" w:rsidP="00E775EE">
            <w:pPr>
              <w:rPr>
                <w:sz w:val="24"/>
                <w:szCs w:val="24"/>
                <w:lang w:val="sr-Cyrl-RS"/>
              </w:rPr>
            </w:pPr>
            <w:r>
              <w:rPr>
                <w:sz w:val="24"/>
                <w:szCs w:val="24"/>
                <w:lang w:val="sr-Cyrl-RS"/>
              </w:rPr>
              <w:t>Тест за активност</w:t>
            </w:r>
          </w:p>
        </w:tc>
        <w:tc>
          <w:tcPr>
            <w:tcW w:w="1609" w:type="dxa"/>
            <w:gridSpan w:val="2"/>
            <w:shd w:val="clear" w:color="auto" w:fill="auto"/>
            <w:vAlign w:val="center"/>
          </w:tcPr>
          <w:p w14:paraId="14AC5E9C" w14:textId="77777777" w:rsidR="008D47D3" w:rsidRPr="002D43DE" w:rsidRDefault="008D47D3" w:rsidP="00E775EE">
            <w:pPr>
              <w:jc w:val="center"/>
              <w:rPr>
                <w:b/>
                <w:bCs/>
                <w:sz w:val="24"/>
                <w:szCs w:val="24"/>
                <w:lang w:val="sr-Cyrl-RS"/>
              </w:rPr>
            </w:pPr>
          </w:p>
        </w:tc>
        <w:tc>
          <w:tcPr>
            <w:tcW w:w="1823" w:type="dxa"/>
            <w:shd w:val="clear" w:color="auto" w:fill="auto"/>
          </w:tcPr>
          <w:p w14:paraId="33B64649" w14:textId="77777777" w:rsidR="008D47D3" w:rsidRPr="002D43DE" w:rsidRDefault="008D47D3" w:rsidP="00E775EE">
            <w:pPr>
              <w:rPr>
                <w:sz w:val="24"/>
                <w:szCs w:val="24"/>
                <w:lang w:val="sr-Cyrl-CS"/>
              </w:rPr>
            </w:pPr>
          </w:p>
        </w:tc>
        <w:tc>
          <w:tcPr>
            <w:tcW w:w="1180" w:type="dxa"/>
            <w:shd w:val="clear" w:color="auto" w:fill="auto"/>
          </w:tcPr>
          <w:p w14:paraId="72B34086" w14:textId="77777777" w:rsidR="008D47D3" w:rsidRPr="002D43DE" w:rsidRDefault="008D47D3" w:rsidP="00E775EE">
            <w:pPr>
              <w:jc w:val="center"/>
              <w:rPr>
                <w:i/>
                <w:iCs/>
                <w:sz w:val="24"/>
                <w:szCs w:val="24"/>
                <w:lang w:val="sr-Cyrl-CS"/>
              </w:rPr>
            </w:pPr>
          </w:p>
        </w:tc>
      </w:tr>
    </w:tbl>
    <w:p w14:paraId="778EF0C7" w14:textId="77777777" w:rsidR="006B1437" w:rsidRDefault="00D95953">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48"/>
    <w:rsid w:val="00033B98"/>
    <w:rsid w:val="000D21A5"/>
    <w:rsid w:val="000E1B24"/>
    <w:rsid w:val="0010779D"/>
    <w:rsid w:val="0019398C"/>
    <w:rsid w:val="002D3C48"/>
    <w:rsid w:val="002D43DE"/>
    <w:rsid w:val="00373550"/>
    <w:rsid w:val="004358CB"/>
    <w:rsid w:val="00436748"/>
    <w:rsid w:val="00791784"/>
    <w:rsid w:val="008D47D3"/>
    <w:rsid w:val="008F015E"/>
    <w:rsid w:val="00B22E20"/>
    <w:rsid w:val="00C50B31"/>
    <w:rsid w:val="00D23464"/>
    <w:rsid w:val="00D95953"/>
    <w:rsid w:val="00F447A4"/>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CE6"/>
  <w15:docId w15:val="{8E9C327E-BE36-430C-97C1-3E73085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VPS</cp:lastModifiedBy>
  <cp:revision>5</cp:revision>
  <dcterms:created xsi:type="dcterms:W3CDTF">2020-02-20T09:26:00Z</dcterms:created>
  <dcterms:modified xsi:type="dcterms:W3CDTF">2020-02-20T09:38:00Z</dcterms:modified>
</cp:coreProperties>
</file>