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33" w:rsidRDefault="00710733" w:rsidP="003F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  <w:t>ANALIZA OBRTNOG KAPITALA I UPRAVLJANJE GOTOVINOM</w:t>
      </w:r>
      <w:bookmarkStart w:id="0" w:name="_GoBack"/>
      <w:bookmarkEnd w:id="0"/>
    </w:p>
    <w:p w:rsidR="00B2746A" w:rsidRPr="003F3EAB" w:rsidRDefault="00AD50AD" w:rsidP="003F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22"/>
          <w:sz w:val="24"/>
          <w:szCs w:val="24"/>
        </w:rPr>
        <w:t>Kratkoročni finansijski menadžment</w:t>
      </w:r>
    </w:p>
    <w:p w:rsidR="003F3EAB" w:rsidRDefault="003F3EAB" w:rsidP="00B04B8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22"/>
          <w:sz w:val="24"/>
          <w:szCs w:val="24"/>
        </w:rPr>
      </w:pPr>
    </w:p>
    <w:p w:rsidR="00B64BB2" w:rsidRPr="00B64BB2" w:rsidRDefault="00B64BB2" w:rsidP="00B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Obrtni kapital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pod kojim podrazumevamo tekuću imovinu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može se generaln</w:t>
      </w:r>
      <w:r w:rsid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 klasifikovati na dva načina: </w:t>
      </w:r>
    </w:p>
    <w:p w:rsidR="00B64BB2" w:rsidRPr="00BE7A9F" w:rsidRDefault="00B64BB2" w:rsidP="00BE7A9F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prema komponentama tj. prema vr</w:t>
      </w:r>
      <w:r w:rsid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sti imovine koja ga čini (</w:t>
      </w: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novac, utržive hartije od vrednosti, </w:t>
      </w:r>
      <w:r w:rsid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potraživanja od kupaca i zalihe),</w:t>
      </w:r>
    </w:p>
    <w:p w:rsidR="00B64BB2" w:rsidRPr="00BE7A9F" w:rsidRDefault="00B64BB2" w:rsidP="00BE7A9F">
      <w:pPr>
        <w:pStyle w:val="Pasussalisto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prema</w:t>
      </w:r>
      <w:r w:rsid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vremenskoj karakteristici (</w:t>
      </w: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trajni i privremeni obrtni kapital</w:t>
      </w:r>
      <w:r w:rsid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).</w:t>
      </w:r>
    </w:p>
    <w:p w:rsidR="00A74A35" w:rsidRPr="00A74A35" w:rsidRDefault="00A74A35" w:rsidP="00A7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74A35">
        <w:rPr>
          <w:rFonts w:ascii="Times New Roman" w:eastAsia="Times New Roman" w:hAnsi="Times New Roman" w:cs="Times New Roman"/>
          <w:sz w:val="24"/>
          <w:szCs w:val="24"/>
          <w:lang w:val="sr-Latn-CS"/>
        </w:rPr>
        <w:t>Optimalno upravljanje obrtinim kapitalom podrazumeva da se sa što manjim ulaganjima u obrtni kapital ostvari što veći obim poslovanja, neto dobit, rentabilnost i konstantna likvidnost preduzeća.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Upravljanje obrtnim kapitalom pretpostavlja upravljanje njegovim sastavnim delovima.</w:t>
      </w:r>
    </w:p>
    <w:p w:rsidR="0055040E" w:rsidRDefault="00B64BB2" w:rsidP="00B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409E8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Trajna obrtna</w:t>
      </w: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sredstva predstavljaju deo obrtnih sredstava - zaliha, koji je trajno vezan u cilju održavanja kontinuiteta poslovnog procesa. </w:t>
      </w:r>
      <w:r w:rsid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bi se obezbedio kontinuitet poslovanja preduzeća potrebno ja da ono u svakom trenutku poseduje određenu količinu zaliha, odnosno sirovina i materijala, poluproizvoda, gotovih proizvoda i robe. </w:t>
      </w:r>
    </w:p>
    <w:p w:rsidR="00B64BB2" w:rsidRPr="00B64BB2" w:rsidRDefault="00B64BB2" w:rsidP="00B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Zadatak finansijskog menadžera je da odredi strategij</w:t>
      </w:r>
      <w:r w:rsid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finansiranja tekuće imovine. </w:t>
      </w: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Uobičajene su tri strategije finansiranja tekuće imovine:</w:t>
      </w:r>
    </w:p>
    <w:p w:rsidR="00B64BB2" w:rsidRPr="00BE7A9F" w:rsidRDefault="00B64BB2" w:rsidP="00BE7A9F">
      <w:pPr>
        <w:pStyle w:val="Pasussalisto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Opuštena</w:t>
      </w: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(konzervativna) </w:t>
      </w: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strategija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- 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podrazumeva da se trajna tekuća imovina finansira iz dugoročnih izvora finansiranja. 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prvi plan stavlja likvidnost, pa samim tim zahteva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visoko učešće obrtnog kapitala;</w:t>
      </w:r>
    </w:p>
    <w:p w:rsidR="00B64BB2" w:rsidRPr="00BE7A9F" w:rsidRDefault="00B64BB2" w:rsidP="00BE7A9F">
      <w:pPr>
        <w:pStyle w:val="Pasussalisto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Restriktivna </w:t>
      </w: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>strategija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-</w:t>
      </w:r>
      <w:r w:rsidR="003B5352" w:rsidRP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podrazumeva da se dugoročne investicije finansiraju iz dugoročnih izvora finansiranja, a kratkoročne iz kratkoročnih izvora finansiranja. 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>Privremeni obrtni kapital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sezonske promene u tekućoj imovini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se finansira 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kratkoročnim dugom, dok se stalne komponente tekuće imovine i sva fiksna imovina finansiraju dugoročnim d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>ugom ili akcionarskim kapitalom;</w:t>
      </w:r>
    </w:p>
    <w:p w:rsidR="00B64BB2" w:rsidRDefault="00B64BB2" w:rsidP="00B64BB2">
      <w:pPr>
        <w:pStyle w:val="Pasussalisto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Agresivna</w:t>
      </w:r>
      <w:r w:rsidRPr="00BE7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strategija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-</w:t>
      </w:r>
      <w:r w:rsidR="003B5352" w:rsidRP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pretpostavlja 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>da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preduzeće putem kratkoročnog zaduživanja finansira i deo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svog trajnog obrtnog kapitala. </w:t>
      </w:r>
      <w:r w:rsidR="003B5352"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To ima za posledicu da preduzeće mora refinansirati taj dug onda kada dospe na naplatu, što povećava rizik poslovanja. Ova strategija stavlja akcenat na povećanje profita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3B5352" w:rsidRPr="003B5352" w:rsidRDefault="003B5352" w:rsidP="003B53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3B5352" w:rsidRPr="003B5352" w:rsidRDefault="003B5352" w:rsidP="003B5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3B535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Analiza neto obrtnog kapitala</w:t>
      </w:r>
    </w:p>
    <w:p w:rsidR="00B64BB2" w:rsidRPr="00B64BB2" w:rsidRDefault="00B64BB2" w:rsidP="00B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64BB2" w:rsidRPr="00B64BB2" w:rsidRDefault="00B64BB2" w:rsidP="00B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Neto obrtni kapital</w:t>
      </w: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predstavlja meru likvidnosti poslovanja</w:t>
      </w:r>
      <w:r w:rsidR="003B535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utvrđuje se kao:</w:t>
      </w:r>
    </w:p>
    <w:p w:rsidR="00B64BB2" w:rsidRPr="00B64BB2" w:rsidRDefault="00B64BB2" w:rsidP="003B5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Neto obrtni kapital = tekuća imovina – tekuće obaveze</w:t>
      </w:r>
    </w:p>
    <w:p w:rsidR="00B64BB2" w:rsidRPr="00B64BB2" w:rsidRDefault="003B5352" w:rsidP="00B6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Racio neto obrtnog kapitala se izračunava na osnovu formule:</w:t>
      </w:r>
    </w:p>
    <w:p w:rsidR="004B1827" w:rsidRDefault="00B64BB2" w:rsidP="006A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64BB2">
        <w:rPr>
          <w:rFonts w:ascii="Times New Roman" w:eastAsia="Times New Roman" w:hAnsi="Times New Roman" w:cs="Times New Roman"/>
          <w:sz w:val="24"/>
          <w:szCs w:val="24"/>
          <w:lang w:val="sr-Latn-CS"/>
        </w:rPr>
        <w:t>Racio neto obrtnog kapitala = neto obrtni kapital/ ukupni kapital</w:t>
      </w:r>
    </w:p>
    <w:p w:rsidR="006A5177" w:rsidRDefault="006A5177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409E8" w:rsidRDefault="00295FC7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D0AE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Zadatak 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Na osnovu podataka iz tabele </w:t>
      </w:r>
      <w:r w:rsidR="000409E8">
        <w:rPr>
          <w:rFonts w:ascii="Times New Roman" w:eastAsia="Times New Roman" w:hAnsi="Times New Roman" w:cs="Times New Roman"/>
          <w:sz w:val="24"/>
          <w:szCs w:val="24"/>
          <w:lang w:val="sr-Latn-CS"/>
        </w:rPr>
        <w:t>izračunajte neto obrtni kapital.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595"/>
        <w:gridCol w:w="1079"/>
        <w:gridCol w:w="3601"/>
        <w:gridCol w:w="1075"/>
      </w:tblGrid>
      <w:tr w:rsidR="00295FC7" w:rsidRPr="00295FC7" w:rsidTr="00295FC7">
        <w:tc>
          <w:tcPr>
            <w:tcW w:w="3595" w:type="dxa"/>
          </w:tcPr>
          <w:p w:rsidR="00295FC7" w:rsidRPr="00295FC7" w:rsidRDefault="00295FC7" w:rsidP="0029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AKTIVA</w:t>
            </w:r>
          </w:p>
        </w:tc>
        <w:tc>
          <w:tcPr>
            <w:tcW w:w="1079" w:type="dxa"/>
          </w:tcPr>
          <w:p w:rsidR="00295FC7" w:rsidRPr="00295FC7" w:rsidRDefault="00295FC7" w:rsidP="0029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295FC7">
              <w:rPr>
                <w:rFonts w:ascii="Times New Roman" w:hAnsi="Times New Roman" w:cs="Times New Roman"/>
                <w:sz w:val="24"/>
              </w:rPr>
              <w:t>znos</w:t>
            </w:r>
            <w:r>
              <w:rPr>
                <w:rFonts w:ascii="Times New Roman" w:hAnsi="Times New Roman" w:cs="Times New Roman"/>
                <w:sz w:val="24"/>
              </w:rPr>
              <w:t xml:space="preserve"> (n.j.)</w:t>
            </w:r>
          </w:p>
        </w:tc>
        <w:tc>
          <w:tcPr>
            <w:tcW w:w="3601" w:type="dxa"/>
          </w:tcPr>
          <w:p w:rsidR="00295FC7" w:rsidRPr="00295FC7" w:rsidRDefault="00295FC7" w:rsidP="0029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PASIVA</w:t>
            </w:r>
          </w:p>
        </w:tc>
        <w:tc>
          <w:tcPr>
            <w:tcW w:w="1075" w:type="dxa"/>
          </w:tcPr>
          <w:p w:rsidR="00295FC7" w:rsidRPr="00295FC7" w:rsidRDefault="00295FC7" w:rsidP="0029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295FC7">
              <w:rPr>
                <w:rFonts w:ascii="Times New Roman" w:hAnsi="Times New Roman" w:cs="Times New Roman"/>
                <w:sz w:val="24"/>
              </w:rPr>
              <w:t>znos</w:t>
            </w:r>
            <w:r>
              <w:rPr>
                <w:rFonts w:ascii="Times New Roman" w:hAnsi="Times New Roman" w:cs="Times New Roman"/>
                <w:sz w:val="24"/>
              </w:rPr>
              <w:t xml:space="preserve"> (n.j.)</w:t>
            </w:r>
          </w:p>
        </w:tc>
      </w:tr>
      <w:tr w:rsidR="00295FC7" w:rsidRPr="00295FC7" w:rsidTr="00295FC7">
        <w:tc>
          <w:tcPr>
            <w:tcW w:w="3595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Tekuća imovina</w:t>
            </w:r>
          </w:p>
        </w:tc>
        <w:tc>
          <w:tcPr>
            <w:tcW w:w="1079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Kratkoročne obaveze</w:t>
            </w:r>
          </w:p>
        </w:tc>
        <w:tc>
          <w:tcPr>
            <w:tcW w:w="1075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5FC7" w:rsidRPr="00295FC7" w:rsidTr="00295FC7">
        <w:tc>
          <w:tcPr>
            <w:tcW w:w="3595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Gotov novac</w:t>
            </w:r>
          </w:p>
        </w:tc>
        <w:tc>
          <w:tcPr>
            <w:tcW w:w="1079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3601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Kratkoroč.zajmov</w:t>
            </w:r>
          </w:p>
        </w:tc>
        <w:tc>
          <w:tcPr>
            <w:tcW w:w="1075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95FC7">
              <w:rPr>
                <w:rFonts w:ascii="Times New Roman" w:hAnsi="Times New Roman" w:cs="Times New Roman"/>
                <w:sz w:val="24"/>
              </w:rPr>
              <w:t>500</w:t>
            </w:r>
          </w:p>
        </w:tc>
      </w:tr>
      <w:tr w:rsidR="00295FC7" w:rsidRPr="00295FC7" w:rsidTr="00295FC7">
        <w:tc>
          <w:tcPr>
            <w:tcW w:w="3595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</w:t>
            </w:r>
            <w:r w:rsidRPr="00295FC7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1079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601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Obaveze prema dobavljačima</w:t>
            </w:r>
          </w:p>
        </w:tc>
        <w:tc>
          <w:tcPr>
            <w:tcW w:w="1075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95FC7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295FC7" w:rsidRPr="00295FC7" w:rsidTr="00295FC7">
        <w:tc>
          <w:tcPr>
            <w:tcW w:w="3595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Potraživanja od kupaca</w:t>
            </w:r>
          </w:p>
        </w:tc>
        <w:tc>
          <w:tcPr>
            <w:tcW w:w="1079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95FC7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3601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Porezi</w:t>
            </w:r>
          </w:p>
        </w:tc>
        <w:tc>
          <w:tcPr>
            <w:tcW w:w="1075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95FC7" w:rsidRPr="00295FC7" w:rsidTr="00295FC7">
        <w:tc>
          <w:tcPr>
            <w:tcW w:w="3595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Zalihe</w:t>
            </w:r>
          </w:p>
        </w:tc>
        <w:tc>
          <w:tcPr>
            <w:tcW w:w="1079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95FC7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3601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Tekuća plaćanja za dugoročni dug</w:t>
            </w:r>
          </w:p>
        </w:tc>
        <w:tc>
          <w:tcPr>
            <w:tcW w:w="1075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95FC7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295FC7" w:rsidRPr="00295FC7" w:rsidTr="00295FC7">
        <w:tc>
          <w:tcPr>
            <w:tcW w:w="3595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FC7">
              <w:rPr>
                <w:rFonts w:ascii="Times New Roman" w:hAnsi="Times New Roman" w:cs="Times New Roman"/>
                <w:b/>
                <w:sz w:val="24"/>
              </w:rPr>
              <w:lastRenderedPageBreak/>
              <w:t>Ukupna tekuća imovina</w:t>
            </w:r>
          </w:p>
        </w:tc>
        <w:tc>
          <w:tcPr>
            <w:tcW w:w="1079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95FC7">
              <w:rPr>
                <w:rFonts w:ascii="Times New Roman" w:hAnsi="Times New Roman" w:cs="Times New Roman"/>
                <w:b/>
                <w:sz w:val="24"/>
              </w:rPr>
              <w:t>10.600</w:t>
            </w:r>
          </w:p>
        </w:tc>
        <w:tc>
          <w:tcPr>
            <w:tcW w:w="3601" w:type="dxa"/>
          </w:tcPr>
          <w:p w:rsidR="00295FC7" w:rsidRPr="00295FC7" w:rsidRDefault="00295FC7" w:rsidP="00295F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5FC7">
              <w:rPr>
                <w:rFonts w:ascii="Times New Roman" w:hAnsi="Times New Roman" w:cs="Times New Roman"/>
                <w:b/>
                <w:sz w:val="24"/>
              </w:rPr>
              <w:t>Ukupne kratkoročne obaveze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(tekuće obaveze)</w:t>
            </w:r>
          </w:p>
        </w:tc>
        <w:tc>
          <w:tcPr>
            <w:tcW w:w="1075" w:type="dxa"/>
          </w:tcPr>
          <w:p w:rsidR="00295FC7" w:rsidRPr="00295FC7" w:rsidRDefault="00295FC7" w:rsidP="00295FC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95FC7">
              <w:rPr>
                <w:rFonts w:ascii="Times New Roman" w:hAnsi="Times New Roman" w:cs="Times New Roman"/>
                <w:b/>
                <w:sz w:val="24"/>
              </w:rPr>
              <w:t>9.700</w:t>
            </w:r>
          </w:p>
        </w:tc>
      </w:tr>
    </w:tbl>
    <w:p w:rsidR="00295FC7" w:rsidRDefault="00295FC7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5040E" w:rsidRDefault="0055040E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95FC7" w:rsidRDefault="00295FC7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Rešenje:</w:t>
      </w:r>
    </w:p>
    <w:p w:rsidR="00295FC7" w:rsidRDefault="00295FC7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95FC7">
        <w:rPr>
          <w:rFonts w:ascii="Times New Roman" w:eastAsia="Times New Roman" w:hAnsi="Times New Roman" w:cs="Times New Roman"/>
          <w:sz w:val="24"/>
          <w:szCs w:val="24"/>
          <w:lang w:val="sr-Latn-CS"/>
        </w:rPr>
        <w:t>Neto obrtni kapital = tekuća imovina – tekuće obaveze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= 10.600 - 9.700 = 900</w:t>
      </w:r>
    </w:p>
    <w:p w:rsidR="006A5177" w:rsidRDefault="006A5177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Neto obrtni kapital iznosi 900 n.j.</w:t>
      </w:r>
    </w:p>
    <w:p w:rsidR="006A5177" w:rsidRDefault="006A5177" w:rsidP="003B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A5177" w:rsidRDefault="006A5177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40B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Ciklus konverzije u gotovinu</w:t>
      </w:r>
      <w:r w:rsidRPr="006A517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je prosečno vreme trajanja jednog obrta gotovine koje predstavlja period između dospelosti plaćanja tekućih obaveza</w:t>
      </w:r>
      <w:r w:rsidR="00D740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prodaje i naplate proizvoda. </w:t>
      </w:r>
      <w:r w:rsidRPr="006A5177">
        <w:rPr>
          <w:rFonts w:ascii="Times New Roman" w:eastAsia="Times New Roman" w:hAnsi="Times New Roman" w:cs="Times New Roman"/>
          <w:sz w:val="24"/>
          <w:szCs w:val="24"/>
          <w:lang w:val="sr-Latn-CS"/>
        </w:rPr>
        <w:t>Kod ovog ciklusa ključna su tri perioda u upravljanju obrtnim kapitalom</w:t>
      </w:r>
      <w:r w:rsidR="00D740BE">
        <w:rPr>
          <w:rFonts w:ascii="Times New Roman" w:eastAsia="Times New Roman" w:hAnsi="Times New Roman" w:cs="Times New Roman"/>
          <w:sz w:val="24"/>
          <w:szCs w:val="24"/>
          <w:lang w:val="sr-Latn-CS"/>
        </w:rPr>
        <w:t>: period plaćanja dobavljačima, p</w:t>
      </w:r>
      <w:r w:rsidRPr="006A5177">
        <w:rPr>
          <w:rFonts w:ascii="Times New Roman" w:eastAsia="Times New Roman" w:hAnsi="Times New Roman" w:cs="Times New Roman"/>
          <w:sz w:val="24"/>
          <w:szCs w:val="24"/>
          <w:lang w:val="sr-Latn-CS"/>
        </w:rPr>
        <w:t>eriod zadržavanja zaliha</w:t>
      </w:r>
      <w:r w:rsidR="00D740B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</w:t>
      </w:r>
      <w:r w:rsidRPr="006A5177">
        <w:rPr>
          <w:rFonts w:ascii="Times New Roman" w:eastAsia="Times New Roman" w:hAnsi="Times New Roman" w:cs="Times New Roman"/>
          <w:sz w:val="24"/>
          <w:szCs w:val="24"/>
          <w:lang w:val="sr-Latn-CS"/>
        </w:rPr>
        <w:t>eriod naplate prodaje</w:t>
      </w:r>
      <w:r w:rsidR="00D740BE">
        <w:rPr>
          <w:rFonts w:ascii="Times New Roman" w:eastAsia="Times New Roman" w:hAnsi="Times New Roman" w:cs="Times New Roman"/>
          <w:sz w:val="24"/>
          <w:szCs w:val="24"/>
          <w:lang w:val="sr-Latn-CS"/>
        </w:rPr>
        <w:t>. Izračunava se na osnovu formule:</w:t>
      </w:r>
    </w:p>
    <w:p w:rsidR="0024425A" w:rsidRPr="006A5177" w:rsidRDefault="0024425A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28"/>
          <w:sz w:val="24"/>
          <w:szCs w:val="24"/>
          <w:lang w:val="sr-Latn-CS"/>
        </w:rPr>
        <w:object w:dxaOrig="9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.75pt" o:ole="">
            <v:imagedata r:id="rId5" o:title=""/>
          </v:shape>
          <o:OLEObject Type="Embed" ProgID="Equation.DSMT4" ShapeID="_x0000_i1025" DrawAspect="Content" ObjectID="_1646046722" r:id="rId6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740BE" w:rsidRDefault="00D740BE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E004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Period zadržavanja zaliha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 računa na osnovu formule:</w:t>
      </w:r>
    </w:p>
    <w:p w:rsidR="0024425A" w:rsidRDefault="0024425A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5179" w:dyaOrig="680">
          <v:shape id="_x0000_i1026" type="#_x0000_t75" style="width:258.75pt;height:33.75pt" o:ole="">
            <v:imagedata r:id="rId7" o:title=""/>
          </v:shape>
          <o:OLEObject Type="Embed" ProgID="Equation.DSMT4" ShapeID="_x0000_i1026" DrawAspect="Content" ObjectID="_1646046723" r:id="rId8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4425A" w:rsidRDefault="0024425A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5179" w:dyaOrig="680">
          <v:shape id="_x0000_i1027" type="#_x0000_t75" style="width:258.75pt;height:33.75pt" o:ole="">
            <v:imagedata r:id="rId9" o:title=""/>
          </v:shape>
          <o:OLEObject Type="Embed" ProgID="Equation.DSMT4" ShapeID="_x0000_i1027" DrawAspect="Content" ObjectID="_1646046724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A5177" w:rsidRDefault="006A5177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A5177">
        <w:rPr>
          <w:rFonts w:ascii="Times New Roman" w:eastAsia="Times New Roman" w:hAnsi="Times New Roman" w:cs="Times New Roman"/>
          <w:sz w:val="24"/>
          <w:szCs w:val="24"/>
          <w:lang w:val="sr-Latn-CS"/>
        </w:rPr>
        <w:t>Što je period duži, veće su i investicije u održavanje zaliha robe.</w:t>
      </w:r>
    </w:p>
    <w:p w:rsidR="00D740BE" w:rsidRDefault="00D740BE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E004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Period naplate potraživanja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 izračunava na osnovu formule:</w:t>
      </w:r>
    </w:p>
    <w:p w:rsidR="0024425A" w:rsidRDefault="0024425A" w:rsidP="0024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5460" w:dyaOrig="680">
          <v:shape id="_x0000_i1028" type="#_x0000_t75" style="width:273pt;height:33.75pt" o:ole="">
            <v:imagedata r:id="rId11" o:title=""/>
          </v:shape>
          <o:OLEObject Type="Embed" ProgID="Equation.DSMT4" ShapeID="_x0000_i1028" DrawAspect="Content" ObjectID="_1646046725" r:id="rId12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4425A" w:rsidRDefault="0024425A" w:rsidP="0024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5000" w:dyaOrig="680">
          <v:shape id="_x0000_i1029" type="#_x0000_t75" style="width:249.75pt;height:33.75pt" o:ole="">
            <v:imagedata r:id="rId13" o:title=""/>
          </v:shape>
          <o:OLEObject Type="Embed" ProgID="Equation.DSMT4" ShapeID="_x0000_i1029" DrawAspect="Content" ObjectID="_1646046726" r:id="rId14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A5177" w:rsidRDefault="00D740BE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Ukazije na </w:t>
      </w:r>
      <w:r w:rsidR="006A5177" w:rsidRPr="006A517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vreme između datuma nastalog potraživanja i njegove stvarne konverzije u novac. Što je period duži, povećavaju se i investicije obrtnog kapitala u potraživanja od kupaca. </w:t>
      </w:r>
    </w:p>
    <w:p w:rsidR="00D740BE" w:rsidRDefault="00D740BE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E004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Period plaćanja prema dobavljačima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 izračunava na osnovu formule:</w:t>
      </w:r>
    </w:p>
    <w:p w:rsidR="0024425A" w:rsidRDefault="0024425A" w:rsidP="0024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6039" w:dyaOrig="680">
          <v:shape id="_x0000_i1030" type="#_x0000_t75" style="width:302.25pt;height:33.75pt" o:ole="">
            <v:imagedata r:id="rId15" o:title=""/>
          </v:shape>
          <o:OLEObject Type="Embed" ProgID="Equation.DSMT4" ShapeID="_x0000_i1030" DrawAspect="Content" ObjectID="_1646046727" r:id="rId16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4425A" w:rsidRDefault="0024425A" w:rsidP="0024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10080" w:dyaOrig="680">
          <v:shape id="_x0000_i1031" type="#_x0000_t75" style="width:7in;height:33.75pt" o:ole="">
            <v:imagedata r:id="rId17" o:title=""/>
          </v:shape>
          <o:OLEObject Type="Embed" ProgID="Equation.DSMT4" ShapeID="_x0000_i1031" DrawAspect="Content" ObjectID="_1646046728" r:id="rId18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A5177" w:rsidRDefault="00D740BE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Ukazuje na </w:t>
      </w:r>
      <w:r w:rsidR="006A5177" w:rsidRPr="006A517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vreme od datuma nabavke materijala ili proizvoda do datuma plaćanja preuzetih obaveza. Što je taj period duži, duži je i period koji je na raspolaganju za konverziju potraživanja u gotovinu.  </w:t>
      </w:r>
    </w:p>
    <w:p w:rsidR="0024425A" w:rsidRPr="006A5177" w:rsidRDefault="0024425A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A5177" w:rsidRDefault="0024425A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Zadatak 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 Izračunajte ciklus konverzije u gotovinu preduzeća ABC, ako je period zadržavanja zaliha 40 dana</w:t>
      </w:r>
      <w:r w:rsidR="00262E57">
        <w:rPr>
          <w:rFonts w:ascii="Times New Roman" w:eastAsia="Times New Roman" w:hAnsi="Times New Roman" w:cs="Times New Roman"/>
          <w:sz w:val="24"/>
          <w:szCs w:val="24"/>
          <w:lang w:val="sr-Latn-CS"/>
        </w:rPr>
        <w:t>, period naplate potraživanja 85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dana, a period plaćanja dobavljačima 60 dana.</w:t>
      </w:r>
    </w:p>
    <w:p w:rsidR="00FA38F7" w:rsidRDefault="00FA38F7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A38F7" w:rsidRDefault="00FA38F7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Rešenje:</w:t>
      </w:r>
    </w:p>
    <w:p w:rsidR="00262E57" w:rsidRDefault="00262E57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28"/>
          <w:sz w:val="24"/>
          <w:szCs w:val="24"/>
          <w:lang w:val="sr-Latn-CS"/>
        </w:rPr>
        <w:object w:dxaOrig="9540" w:dyaOrig="680">
          <v:shape id="_x0000_i1032" type="#_x0000_t75" style="width:468pt;height:33pt" o:ole="">
            <v:imagedata r:id="rId19" o:title=""/>
          </v:shape>
          <o:OLEObject Type="Embed" ProgID="Equation.DSMT4" ShapeID="_x0000_i1032" DrawAspect="Content" ObjectID="_1646046729" r:id="rId20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A38F7" w:rsidRDefault="009073B4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Preduzeće ABC ima ciklus konverzije u gotovinu od 65 dana.</w:t>
      </w:r>
    </w:p>
    <w:p w:rsidR="009073B4" w:rsidRDefault="009073B4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D7469" w:rsidRDefault="00DD7469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D7469" w:rsidRDefault="00DD7469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D7469" w:rsidRDefault="00DD7469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D7469" w:rsidRDefault="00DD7469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C3E5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Zadatak 3: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Izračunajte ciklus konverzije u gotovinu za preduzeće Z. Neto prihodi od </w:t>
      </w:r>
      <w:r w:rsidR="008005D1">
        <w:rPr>
          <w:rFonts w:ascii="Times New Roman" w:eastAsia="Times New Roman" w:hAnsi="Times New Roman" w:cs="Times New Roman"/>
          <w:sz w:val="24"/>
          <w:szCs w:val="24"/>
          <w:lang w:val="sr-Latn-CS"/>
        </w:rPr>
        <w:t>prodaje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5597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preduzeća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iznose 11.000.000 dinara, a cena koštanja realizovanih proizvoda 6.000.000 dinara. </w:t>
      </w:r>
      <w:r w:rsidR="00D264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Pretpostavite da su troškovi prodatih proizvoda (cena koštanja realizovanih proizvoda) jednaki vrednosti godišnjih nabavki od dobavljača na kredit.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Saldo kupaca na početku godine iznosi 600.000, a na kraju 650.000 dinara. Saldo ukupnih zaliha na početku godine iznosi 950.000, a na kraju 1.000.000</w:t>
      </w:r>
      <w:r w:rsidR="00A74A3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domara. Saldo dobavljača iznosi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na početku godine 450.000, a na kraju 550.000 dinara. </w:t>
      </w:r>
    </w:p>
    <w:p w:rsidR="0075597C" w:rsidRDefault="0075597C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C3E58" w:rsidRDefault="00DD7469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Rešenje:</w:t>
      </w:r>
    </w:p>
    <w:p w:rsidR="00DD7469" w:rsidRDefault="00DD7469" w:rsidP="0026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D7469" w:rsidRDefault="00DD7469" w:rsidP="00DD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7469">
        <w:rPr>
          <w:rFonts w:ascii="Times New Roman" w:eastAsia="Times New Roman" w:hAnsi="Times New Roman" w:cs="Times New Roman"/>
          <w:position w:val="-54"/>
          <w:sz w:val="24"/>
          <w:szCs w:val="24"/>
          <w:lang w:val="sr-Latn-CS"/>
        </w:rPr>
        <w:object w:dxaOrig="9300" w:dyaOrig="920">
          <v:shape id="_x0000_i1033" type="#_x0000_t75" style="width:464.25pt;height:45.75pt" o:ole="">
            <v:imagedata r:id="rId21" o:title=""/>
          </v:shape>
          <o:OLEObject Type="Embed" ProgID="Equation.DSMT4" ShapeID="_x0000_i1033" DrawAspect="Content" ObjectID="_1646046730" r:id="rId22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005D1" w:rsidRDefault="009C3E58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6660" w:dyaOrig="680">
          <v:shape id="_x0000_i1034" type="#_x0000_t75" style="width:333pt;height:33.75pt" o:ole="">
            <v:imagedata r:id="rId23" o:title=""/>
          </v:shape>
          <o:OLEObject Type="Embed" ProgID="Equation.DSMT4" ShapeID="_x0000_i1034" DrawAspect="Content" ObjectID="_1646046731" r:id="rId24"/>
        </w:object>
      </w:r>
      <w:r w:rsidR="008005D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C3E58" w:rsidRDefault="009C3E58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Period zadržavanja zaliha </w:t>
      </w:r>
      <w:r w:rsidR="000410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 proseku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iznosi 59,35 dana.</w:t>
      </w:r>
    </w:p>
    <w:p w:rsidR="009C3E58" w:rsidRDefault="009C3E58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D7469" w:rsidRDefault="008005D1" w:rsidP="00DD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005D1">
        <w:rPr>
          <w:rFonts w:ascii="Times New Roman" w:eastAsia="Times New Roman" w:hAnsi="Times New Roman" w:cs="Times New Roman"/>
          <w:position w:val="-54"/>
          <w:sz w:val="24"/>
          <w:szCs w:val="24"/>
          <w:lang w:val="sr-Latn-CS"/>
        </w:rPr>
        <w:object w:dxaOrig="9080" w:dyaOrig="920">
          <v:shape id="_x0000_i1035" type="#_x0000_t75" style="width:453.75pt;height:45.75pt" o:ole="">
            <v:imagedata r:id="rId25" o:title=""/>
          </v:shape>
          <o:OLEObject Type="Embed" ProgID="Equation.DSMT4" ShapeID="_x0000_i1035" DrawAspect="Content" ObjectID="_1646046732" r:id="rId26"/>
        </w:object>
      </w:r>
      <w:r w:rsidR="00DD74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005D1" w:rsidRDefault="008005D1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6960" w:dyaOrig="680">
          <v:shape id="_x0000_i1036" type="#_x0000_t75" style="width:348pt;height:33.75pt" o:ole="">
            <v:imagedata r:id="rId27" o:title=""/>
          </v:shape>
          <o:OLEObject Type="Embed" ProgID="Equation.DSMT4" ShapeID="_x0000_i1036" DrawAspect="Content" ObjectID="_1646046733" r:id="rId28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C3E58" w:rsidRDefault="009C3E58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Period </w:t>
      </w:r>
      <w:r w:rsidR="006F1BA3">
        <w:rPr>
          <w:rFonts w:ascii="Times New Roman" w:eastAsia="Times New Roman" w:hAnsi="Times New Roman" w:cs="Times New Roman"/>
          <w:sz w:val="24"/>
          <w:szCs w:val="24"/>
          <w:lang w:val="sr-Latn-CS"/>
        </w:rPr>
        <w:t>naplate potraživanja u proseku godišnje iznosi 20,74 dana.</w:t>
      </w:r>
    </w:p>
    <w:p w:rsidR="006F1BA3" w:rsidRDefault="006F1BA3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D7469" w:rsidRDefault="00DD7469" w:rsidP="00DD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10080" w:dyaOrig="680">
          <v:shape id="_x0000_i1037" type="#_x0000_t75" style="width:7in;height:33.75pt" o:ole="">
            <v:imagedata r:id="rId17" o:title=""/>
          </v:shape>
          <o:OLEObject Type="Embed" ProgID="Equation.DSMT4" ShapeID="_x0000_i1037" DrawAspect="Content" ObjectID="_1646046734" r:id="rId29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8005D1" w:rsidRDefault="008005D1" w:rsidP="00DD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Cena koštanja realizovanih proizvoda =vrednosti godišnjih nabavki od dobavljača na kredit.</w:t>
      </w:r>
    </w:p>
    <w:p w:rsidR="008005D1" w:rsidRDefault="008005D1" w:rsidP="00DD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4425A" w:rsidRDefault="008005D1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005D1">
        <w:rPr>
          <w:rFonts w:ascii="Times New Roman" w:eastAsia="Times New Roman" w:hAnsi="Times New Roman" w:cs="Times New Roman"/>
          <w:position w:val="-54"/>
          <w:sz w:val="24"/>
          <w:szCs w:val="24"/>
          <w:lang w:val="sr-Latn-CS"/>
        </w:rPr>
        <w:object w:dxaOrig="6740" w:dyaOrig="920">
          <v:shape id="_x0000_i1038" type="#_x0000_t75" style="width:336.75pt;height:45.75pt" o:ole="">
            <v:imagedata r:id="rId30" o:title=""/>
          </v:shape>
          <o:OLEObject Type="Embed" ProgID="Equation.DSMT4" ShapeID="_x0000_i1038" DrawAspect="Content" ObjectID="_1646046735" r:id="rId31"/>
        </w:object>
      </w:r>
    </w:p>
    <w:p w:rsidR="008005D1" w:rsidRDefault="008005D1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30"/>
          <w:sz w:val="24"/>
          <w:szCs w:val="24"/>
          <w:lang w:val="sr-Latn-CS"/>
        </w:rPr>
        <w:object w:dxaOrig="7460" w:dyaOrig="680">
          <v:shape id="_x0000_i1039" type="#_x0000_t75" style="width:373.5pt;height:33.75pt" o:ole="">
            <v:imagedata r:id="rId32" o:title=""/>
          </v:shape>
          <o:OLEObject Type="Embed" ProgID="Equation.DSMT4" ShapeID="_x0000_i1039" DrawAspect="Content" ObjectID="_1646046736" r:id="rId33"/>
        </w:objec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F1BA3" w:rsidRDefault="006F1BA3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Period plaćanja dobavljačima u proseku iznosi 30,16 dana.</w:t>
      </w:r>
    </w:p>
    <w:p w:rsidR="009C3E58" w:rsidRDefault="009C3E58" w:rsidP="0080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5040E" w:rsidRDefault="009C3E58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4425A">
        <w:rPr>
          <w:rFonts w:ascii="Times New Roman" w:eastAsia="Times New Roman" w:hAnsi="Times New Roman" w:cs="Times New Roman"/>
          <w:position w:val="-28"/>
          <w:sz w:val="24"/>
          <w:szCs w:val="24"/>
          <w:lang w:val="sr-Latn-CS"/>
        </w:rPr>
        <w:object w:dxaOrig="9540" w:dyaOrig="680">
          <v:shape id="_x0000_i1040" type="#_x0000_t75" style="width:477pt;height:33.75pt" o:ole="">
            <v:imagedata r:id="rId34" o:title=""/>
          </v:shape>
          <o:OLEObject Type="Embed" ProgID="Equation.DSMT4" ShapeID="_x0000_i1040" DrawAspect="Content" ObjectID="_1646046737" r:id="rId35"/>
        </w:object>
      </w:r>
      <w:r w:rsidR="0004100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Ciklus konverzije u gotovinu iznosi 49,93 dana. To znači da od trenutka isplate kratkoročnih obaveza do trenutka naplate potraživanja od kupaca prosečno protekne 49,93 dana. Budući da je </w:t>
      </w:r>
      <w:r w:rsidR="00041001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ciklus </w:t>
      </w:r>
      <w:r w:rsidR="00A74A3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konverzije gotovine </w:t>
      </w:r>
      <w:r w:rsidR="00041001">
        <w:rPr>
          <w:rFonts w:ascii="Times New Roman" w:eastAsia="Times New Roman" w:hAnsi="Times New Roman" w:cs="Times New Roman"/>
          <w:sz w:val="24"/>
          <w:szCs w:val="24"/>
          <w:lang w:val="sr-Latn-CS"/>
        </w:rPr>
        <w:t>pozitivan, to znači da preduzeće, pored spontanih besplatnih izvora finansiranja (dobavljača i ukalkulisanih obaveza), mora koristiti i pozajmljene izvore finansiranja ili držati rezerve u gotovini ili kratkoročnim hartijama od vrednosti. Idealno bi bilo da preduzeće ima negativan ciklus konverzije u gotovinu, što bi značilo da je prosečno vreme plaćanja obaveza duže od poslovnog ciklusa (perioda držanja zaliha+perioda naplate potraživanja).</w:t>
      </w:r>
    </w:p>
    <w:p w:rsidR="0024425A" w:rsidRPr="0024425A" w:rsidRDefault="0024425A" w:rsidP="00244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95FC7" w:rsidRPr="00F605E6" w:rsidRDefault="000F2498" w:rsidP="00F60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F605E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Upravljanje gotovinom i kratkoročno finansijsko predviđanje</w:t>
      </w:r>
    </w:p>
    <w:p w:rsidR="000F2498" w:rsidRDefault="000F2498" w:rsidP="00D7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76FC5" w:rsidRPr="00076FC5" w:rsidRDefault="00E27833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Upravljanje gotovinom podrazumeva efikasno prikupljanje, raspodelu i privremeno investiranje viška gotovine. Početna odrednica upravljanja gotovinom je određivanje optimalnog iznosa koji treba da se drži u gotovini i u kratkoročnim HOV. </w:t>
      </w:r>
      <w:r w:rsidR="00076FC5"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Zadatak finansijs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kog </w:t>
      </w:r>
      <w:r w:rsidR="00385BE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menadžera 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je da </w:t>
      </w:r>
      <w:r w:rsidR="00385BE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obezbedi da 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="00076FC5"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rosečno trajanje perioda obrta gotovine bude što kraće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odnosno 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d</w:t>
      </w:r>
      <w:r w:rsidR="00076FC5"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koeficijent obrta bude što veći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076FC5"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Strategija upravljanja gotovinom se svodi na:</w:t>
      </w:r>
    </w:p>
    <w:p w:rsidR="00076FC5" w:rsidRPr="00F605E6" w:rsidRDefault="00076FC5" w:rsidP="00F605E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Prolongiranje isplate kratkoročnih obaveza u granicama mogućnosti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076FC5" w:rsidRPr="00F605E6" w:rsidRDefault="00076FC5" w:rsidP="00F605E6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Povećanje efikasnosti korišćenja zaliha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076FC5" w:rsidRPr="00F605E6" w:rsidRDefault="00076FC5" w:rsidP="00076FC5">
      <w:pPr>
        <w:pStyle w:val="Pasussalisto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Skraćenje perioda naplate potraživanja od kupaca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076FC5" w:rsidRPr="00076FC5" w:rsidRDefault="00F605E6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Prolongiranje</w:t>
      </w:r>
      <w:r w:rsidR="00076FC5"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isplate obaveza i skraćenje perioda naplate potraživanja uzajamno deluju na sveobuhvatnu efikasnost upravljanja gotovinom. </w:t>
      </w:r>
    </w:p>
    <w:p w:rsidR="00F605E6" w:rsidRDefault="00F605E6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605E6" w:rsidRPr="0055040E" w:rsidRDefault="00F605E6" w:rsidP="00550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F605E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Plasman periodičnih viškova gotovine</w:t>
      </w:r>
    </w:p>
    <w:p w:rsidR="00076FC5" w:rsidRDefault="00076FC5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Efikasno upravljanje gotovinom podrazumeva oslobađanje što većeg iznosa gotovine za rentabilna ulaganja, a da se pri tom ne ugrozi likvidnost preduzeća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="00F0052E">
        <w:rPr>
          <w:rFonts w:ascii="Times New Roman" w:eastAsia="Times New Roman" w:hAnsi="Times New Roman" w:cs="Times New Roman"/>
          <w:sz w:val="24"/>
          <w:szCs w:val="24"/>
          <w:lang w:val="sr-Latn-CS"/>
        </w:rPr>
        <w:t>Kupljene kratkoročne HOV za preduzeće predstavljaju likvidna sredstva, dok emitovane kratkoročne HOV za preduzeće predstavljaju obavezu. Preduzeće, dakle, tržište novca koristi za finansiranje obrtnog kapitala i za oplodnju kratkoročnih sredstava putem plasiranja viška gotovine.</w:t>
      </w:r>
    </w:p>
    <w:p w:rsidR="00076FC5" w:rsidRDefault="00076FC5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Predmet trgovanja na novčanom tržištu su H od V sa peri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odom dospelosti do godinu dana. </w:t>
      </w:r>
      <w:r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Ove hartije donose prinos u vidu kamate koju emitent plaća kupcu za korišćenje gotovine koju je dobio njihovom prodajom.</w:t>
      </w:r>
      <w:r w:rsidR="00F605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Praksa pokazuje da preduzeća uglavnom drže H od V umesto </w:t>
      </w:r>
      <w:r w:rsidR="00385BE2">
        <w:rPr>
          <w:rFonts w:ascii="Times New Roman" w:eastAsia="Times New Roman" w:hAnsi="Times New Roman" w:cs="Times New Roman"/>
          <w:sz w:val="24"/>
          <w:szCs w:val="24"/>
          <w:lang w:val="sr-Latn-CS"/>
        </w:rPr>
        <w:t>velikih iznosa gotovine, jer</w:t>
      </w:r>
      <w:r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im </w:t>
      </w:r>
      <w:r w:rsidR="00385BE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one </w:t>
      </w:r>
      <w:r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donose prinos, a lako se konvertuju u novac za potrebe plaćanja poreza, kamata ili isplate dividendi.</w:t>
      </w:r>
    </w:p>
    <w:p w:rsidR="00076FC5" w:rsidRPr="00076FC5" w:rsidRDefault="0055040E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Najznačajnije v</w:t>
      </w:r>
      <w:r w:rsid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>rste kratkoročnih HOV:</w:t>
      </w:r>
    </w:p>
    <w:p w:rsidR="00076FC5" w:rsidRPr="00FC4D13" w:rsidRDefault="00076FC5" w:rsidP="00FC4D13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Komercijalni zapisi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njihovi prinosi su veći od prinosa državnih HO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>V. Emitiju ih preduzeća sa visokim kreditnim bonitetom. Rok dospeća im je od 2 – 9 meseci. Ne mogu se unovčiti pre roka dospeća.</w:t>
      </w:r>
    </w:p>
    <w:p w:rsidR="00076FC5" w:rsidRPr="00FC4D13" w:rsidRDefault="00076FC5" w:rsidP="00FC4D13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Sertifikat o depozitu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pismeni instrument o vremenski određenom depozitu izvesne sume novca kod neke banke. On je prenosiv i može se unovčiti pre roka dospeća. Prinos im je veći od prinosa na blagajničke zapise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 sličan prinosu na komercijalne zapise.</w:t>
      </w:r>
    </w:p>
    <w:p w:rsidR="00076FC5" w:rsidRPr="00FC4D13" w:rsidRDefault="00076FC5" w:rsidP="00076FC5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Blagajnički zapisi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emituje ih banka i druge finansijske institucije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Prodaju se u diskontnoj formi, 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>tj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kupac plaća njihovu nominalnu cenu umanjenu za iznos obračunate kamate</w:t>
      </w:r>
      <w:r w:rsidR="0055040E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 u trenutku dospelosti naplaćuje njihovu nominalnu vrednost.</w:t>
      </w:r>
      <w:r w:rsid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C4D13">
        <w:rPr>
          <w:rFonts w:ascii="Times New Roman" w:eastAsia="Times New Roman" w:hAnsi="Times New Roman" w:cs="Times New Roman"/>
          <w:sz w:val="24"/>
          <w:szCs w:val="24"/>
          <w:lang w:val="sr-Latn-CS"/>
        </w:rPr>
        <w:t>Prodaje se putem javne ponude, rok dospelosti 91 – 182 dana.</w:t>
      </w:r>
    </w:p>
    <w:p w:rsidR="00FC4D13" w:rsidRDefault="00076FC5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76FC5">
        <w:rPr>
          <w:rFonts w:ascii="Times New Roman" w:eastAsia="Times New Roman" w:hAnsi="Times New Roman" w:cs="Times New Roman"/>
          <w:sz w:val="24"/>
          <w:szCs w:val="24"/>
          <w:lang w:val="sr-Latn-CS"/>
        </w:rPr>
        <w:t>Ključne karakteristike na osnovu kojih preduzeće treba da se odluči za investiranje u određene kratkoročne h</w:t>
      </w:r>
      <w:r w:rsidR="00D16D70">
        <w:rPr>
          <w:rFonts w:ascii="Times New Roman" w:eastAsia="Times New Roman" w:hAnsi="Times New Roman" w:cs="Times New Roman"/>
          <w:sz w:val="24"/>
          <w:szCs w:val="24"/>
          <w:lang w:val="sr-Latn-CS"/>
        </w:rPr>
        <w:t>artije od vrednosti su njihova utrživost, sigurnost, prinos i rok dospeća.</w:t>
      </w:r>
    </w:p>
    <w:p w:rsidR="00D16D70" w:rsidRDefault="00D16D70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16D70" w:rsidRPr="0055040E" w:rsidRDefault="0055040E" w:rsidP="00D16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55040E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Baumulov model</w:t>
      </w:r>
    </w:p>
    <w:p w:rsidR="00076FC5" w:rsidRDefault="0055158B" w:rsidP="0055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Preduzeće će često morati da donese odluku o tome u kom obimu i kada emitovati i prodavati sopstvene kratkoročne HOV, odnosno kada i u kojoj vrednosti kupiti kratkoročne HOV drugih emitenata i kada ih </w:t>
      </w:r>
      <w:r w:rsidR="0089438C">
        <w:rPr>
          <w:rFonts w:ascii="Times New Roman" w:eastAsia="Times New Roman" w:hAnsi="Times New Roman" w:cs="Times New Roman"/>
          <w:sz w:val="24"/>
          <w:szCs w:val="24"/>
          <w:lang w:val="sr-Latn-CS"/>
        </w:rPr>
        <w:t>transferisati u gotovinu. Za donošenje navedenih odluka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 često koristi Baumolov model. </w:t>
      </w:r>
    </w:p>
    <w:p w:rsidR="0055158B" w:rsidRDefault="0055158B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Ukupni troškovi gotovine se mogu utvrditi kao:</w:t>
      </w:r>
    </w:p>
    <w:p w:rsidR="0055158B" w:rsidRDefault="0055158B" w:rsidP="0055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5158B">
        <w:rPr>
          <w:rFonts w:ascii="Times New Roman" w:eastAsia="Times New Roman" w:hAnsi="Times New Roman" w:cs="Times New Roman"/>
          <w:position w:val="-24"/>
          <w:sz w:val="24"/>
          <w:szCs w:val="24"/>
          <w:lang w:val="sr-Latn-CS"/>
        </w:rPr>
        <w:object w:dxaOrig="3680" w:dyaOrig="620">
          <v:shape id="_x0000_i1041" type="#_x0000_t75" style="width:183.75pt;height:30.75pt" o:ole="">
            <v:imagedata r:id="rId36" o:title=""/>
          </v:shape>
          <o:OLEObject Type="Embed" ProgID="Equation.DSMT4" ShapeID="_x0000_i1041" DrawAspect="Content" ObjectID="_1646046738" r:id="rId37"/>
        </w:object>
      </w:r>
    </w:p>
    <w:p w:rsidR="0055158B" w:rsidRPr="008F725F" w:rsidRDefault="0055158B" w:rsidP="0055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8F725F">
        <w:rPr>
          <w:rFonts w:ascii="Times New Roman" w:hAnsi="Times New Roman" w:cs="Times New Roman"/>
          <w:sz w:val="24"/>
          <w:szCs w:val="24"/>
        </w:rPr>
        <w:t>de su</w:t>
      </w:r>
      <w:r>
        <w:rPr>
          <w:rFonts w:ascii="Times New Roman" w:hAnsi="Times New Roman" w:cs="Times New Roman"/>
          <w:sz w:val="24"/>
          <w:szCs w:val="24"/>
        </w:rPr>
        <w:t xml:space="preserve"> C – iznos gotovine koji će se dobiti emitovanjem i prodajom kratkoročnih hartija od vrednosti ili po osnovu kratkoročnog kredita od banke (C/2 je prosečan saldo gotovine), </w:t>
      </w:r>
      <w:r w:rsidRPr="008F725F">
        <w:rPr>
          <w:rFonts w:ascii="Times New Roman" w:hAnsi="Times New Roman" w:cs="Times New Roman"/>
          <w:sz w:val="24"/>
          <w:szCs w:val="24"/>
        </w:rPr>
        <w:t xml:space="preserve">F – fiksni troškovi </w:t>
      </w:r>
      <w:r>
        <w:rPr>
          <w:rFonts w:ascii="Times New Roman" w:hAnsi="Times New Roman" w:cs="Times New Roman"/>
          <w:sz w:val="24"/>
          <w:szCs w:val="24"/>
        </w:rPr>
        <w:t xml:space="preserve">transakcija </w:t>
      </w:r>
      <w:r w:rsidRPr="008F725F">
        <w:rPr>
          <w:rFonts w:ascii="Times New Roman" w:hAnsi="Times New Roman" w:cs="Times New Roman"/>
          <w:sz w:val="24"/>
          <w:szCs w:val="24"/>
        </w:rPr>
        <w:t xml:space="preserve">(emisije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725F">
        <w:rPr>
          <w:rFonts w:ascii="Times New Roman" w:hAnsi="Times New Roman" w:cs="Times New Roman"/>
          <w:sz w:val="24"/>
          <w:szCs w:val="24"/>
        </w:rPr>
        <w:t xml:space="preserve"> prodaje hartija od vrednosti ili pribavljanja kratkoročnog kredita) po </w:t>
      </w:r>
      <w:r>
        <w:rPr>
          <w:rFonts w:ascii="Times New Roman" w:hAnsi="Times New Roman" w:cs="Times New Roman"/>
          <w:sz w:val="24"/>
          <w:szCs w:val="24"/>
        </w:rPr>
        <w:t xml:space="preserve">jednoj </w:t>
      </w:r>
      <w:r w:rsidRPr="008F725F">
        <w:rPr>
          <w:rFonts w:ascii="Times New Roman" w:hAnsi="Times New Roman" w:cs="Times New Roman"/>
          <w:sz w:val="24"/>
          <w:szCs w:val="24"/>
        </w:rPr>
        <w:t xml:space="preserve">transakciji, T – </w:t>
      </w:r>
      <w:r>
        <w:rPr>
          <w:rFonts w:ascii="Times New Roman" w:hAnsi="Times New Roman" w:cs="Times New Roman"/>
          <w:sz w:val="24"/>
          <w:szCs w:val="24"/>
        </w:rPr>
        <w:t xml:space="preserve">ukupan iznos neto potrebne gotovine </w:t>
      </w:r>
      <w:r w:rsidR="0089438C">
        <w:rPr>
          <w:rFonts w:ascii="Times New Roman" w:hAnsi="Times New Roman" w:cs="Times New Roman"/>
          <w:sz w:val="24"/>
          <w:szCs w:val="24"/>
        </w:rPr>
        <w:t xml:space="preserve">preduzeća </w:t>
      </w:r>
      <w:r>
        <w:rPr>
          <w:rFonts w:ascii="Times New Roman" w:hAnsi="Times New Roman" w:cs="Times New Roman"/>
          <w:sz w:val="24"/>
          <w:szCs w:val="24"/>
        </w:rPr>
        <w:t xml:space="preserve">u toku perioda (najčešće jedna godina), </w:t>
      </w:r>
      <w:r w:rsidRPr="008F725F">
        <w:rPr>
          <w:rFonts w:ascii="Times New Roman" w:hAnsi="Times New Roman" w:cs="Times New Roman"/>
          <w:sz w:val="24"/>
          <w:szCs w:val="24"/>
        </w:rPr>
        <w:t>k – oportunitetni troškovi držanja gotovine,</w:t>
      </w:r>
      <w:r>
        <w:rPr>
          <w:rFonts w:ascii="Times New Roman" w:hAnsi="Times New Roman" w:cs="Times New Roman"/>
          <w:sz w:val="24"/>
          <w:szCs w:val="24"/>
        </w:rPr>
        <w:t xml:space="preserve"> odnosno kamatna stopa, izražena</w:t>
      </w:r>
      <w:r w:rsidRPr="008F725F">
        <w:rPr>
          <w:rFonts w:ascii="Times New Roman" w:hAnsi="Times New Roman" w:cs="Times New Roman"/>
          <w:sz w:val="24"/>
          <w:szCs w:val="24"/>
        </w:rPr>
        <w:t xml:space="preserve"> u procentima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58B" w:rsidRPr="00076FC5" w:rsidRDefault="0055158B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Prema Baumolovom modelu optimalni iznos gotovine 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725F">
        <w:rPr>
          <w:rFonts w:ascii="Times New Roman" w:hAnsi="Times New Roman" w:cs="Times New Roman"/>
          <w:sz w:val="24"/>
          <w:szCs w:val="24"/>
          <w:vertAlign w:val="subscript"/>
        </w:rPr>
        <w:t>opt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se može utvrditi na osnovu formule:</w:t>
      </w:r>
    </w:p>
    <w:p w:rsidR="008F725F" w:rsidRDefault="008F725F" w:rsidP="0055158B">
      <w:pPr>
        <w:spacing w:after="0" w:line="240" w:lineRule="auto"/>
        <w:jc w:val="center"/>
      </w:pPr>
      <w:r w:rsidRPr="008F725F">
        <w:rPr>
          <w:position w:val="-26"/>
        </w:rPr>
        <w:object w:dxaOrig="1560" w:dyaOrig="700">
          <v:shape id="_x0000_i1042" type="#_x0000_t75" style="width:78pt;height:35.25pt" o:ole="">
            <v:imagedata r:id="rId38" o:title=""/>
          </v:shape>
          <o:OLEObject Type="Embed" ProgID="Equation.DSMT4" ShapeID="_x0000_i1042" DrawAspect="Content" ObjectID="_1646046739" r:id="rId39"/>
        </w:object>
      </w:r>
    </w:p>
    <w:p w:rsidR="00076FC5" w:rsidRDefault="00076FC5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55158B" w:rsidRDefault="009C3E58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Zadatak 4</w:t>
      </w:r>
      <w:r w:rsidR="0055158B" w:rsidRPr="007503F6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:</w:t>
      </w:r>
      <w:r w:rsidR="0055158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54BA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Pretpostavimo da preduzeće X poseduje kratkoročne državne HOV i da ih prodaje da bi obezbedilo iznos od 5.000.000 dinara, koliko iznose procenjene godišnje potrebe preduzeća za gotovinom </w:t>
      </w:r>
      <w:r w:rsidR="00440EC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neophodne </w:t>
      </w:r>
      <w:r w:rsidR="00854BA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radi osiguanja likvidnosti. Isto tako, pretpostavimo da držanje prosečnog salda gotovine (C/2) uzrokuje oportunitetne troškove u visini od 10%, kao i da su </w:t>
      </w:r>
      <w:r w:rsidR="002C2548">
        <w:rPr>
          <w:rFonts w:ascii="Times New Roman" w:eastAsia="Times New Roman" w:hAnsi="Times New Roman" w:cs="Times New Roman"/>
          <w:sz w:val="24"/>
          <w:szCs w:val="24"/>
          <w:lang w:val="sr-Latn-CS"/>
        </w:rPr>
        <w:t>troškovi po jednoj transakciji (prodaji</w:t>
      </w:r>
      <w:r w:rsidR="00854BA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HOV</w:t>
      </w:r>
      <w:r w:rsidR="002C254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</w:t>
      </w:r>
      <w:r w:rsidR="00440EC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iznose </w:t>
      </w:r>
      <w:r w:rsidR="002C254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200 dinara, bez obzira na visinu transakcije. </w:t>
      </w:r>
      <w:r w:rsidR="007503F6">
        <w:rPr>
          <w:rFonts w:ascii="Times New Roman" w:eastAsia="Times New Roman" w:hAnsi="Times New Roman" w:cs="Times New Roman"/>
          <w:sz w:val="24"/>
          <w:szCs w:val="24"/>
          <w:lang w:val="sr-Latn-CS"/>
        </w:rPr>
        <w:t>Koliki bi bio optimalan iznos gotovine koji bi preduzeće trebalo da obezbedi prodajom HOV?</w:t>
      </w:r>
    </w:p>
    <w:p w:rsidR="007503F6" w:rsidRDefault="007503F6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503F6" w:rsidRDefault="007503F6" w:rsidP="0007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Rešenje:</w:t>
      </w:r>
    </w:p>
    <w:p w:rsidR="002C2548" w:rsidRDefault="00854BA9" w:rsidP="00076FC5">
      <w:pPr>
        <w:spacing w:after="0" w:line="240" w:lineRule="auto"/>
        <w:jc w:val="both"/>
      </w:pPr>
      <w:r w:rsidRPr="00854BA9">
        <w:rPr>
          <w:position w:val="-30"/>
        </w:rPr>
        <w:object w:dxaOrig="5000" w:dyaOrig="740">
          <v:shape id="_x0000_i1043" type="#_x0000_t75" style="width:249.75pt;height:36.75pt" o:ole="">
            <v:imagedata r:id="rId40" o:title=""/>
          </v:shape>
          <o:OLEObject Type="Embed" ProgID="Equation.DSMT4" ShapeID="_x0000_i1043" DrawAspect="Content" ObjectID="_1646046740" r:id="rId41"/>
        </w:object>
      </w:r>
    </w:p>
    <w:p w:rsidR="00F43E8D" w:rsidRPr="00F43E8D" w:rsidRDefault="00F43E8D" w:rsidP="00076F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3E8D">
        <w:rPr>
          <w:rFonts w:ascii="Times New Roman" w:hAnsi="Times New Roman" w:cs="Times New Roman"/>
          <w:sz w:val="24"/>
        </w:rPr>
        <w:t>Broj transakcija=procenjene godišnje potrebe preduzeća za gotovinom / iznos pojedinačne transakcije=</w:t>
      </w:r>
      <w:r w:rsidR="004E69B4" w:rsidRPr="00F43E8D">
        <w:rPr>
          <w:rFonts w:ascii="Times New Roman" w:hAnsi="Times New Roman" w:cs="Times New Roman"/>
          <w:sz w:val="24"/>
        </w:rPr>
        <w:t>5.000.000/141.421,36=35,36</w:t>
      </w:r>
    </w:p>
    <w:p w:rsidR="00854BA9" w:rsidRDefault="00854BA9" w:rsidP="00076F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3E8D">
        <w:rPr>
          <w:rFonts w:ascii="Times New Roman" w:hAnsi="Times New Roman" w:cs="Times New Roman"/>
          <w:sz w:val="24"/>
        </w:rPr>
        <w:t xml:space="preserve">Optimalna veličina pojedinačne transakcije iznosi 141.421,36 dinara </w:t>
      </w:r>
      <w:r w:rsidR="00F43E8D">
        <w:rPr>
          <w:rFonts w:ascii="Times New Roman" w:hAnsi="Times New Roman" w:cs="Times New Roman"/>
          <w:sz w:val="24"/>
        </w:rPr>
        <w:t>i</w:t>
      </w:r>
      <w:r w:rsidRPr="00F43E8D">
        <w:rPr>
          <w:rFonts w:ascii="Times New Roman" w:hAnsi="Times New Roman" w:cs="Times New Roman"/>
          <w:sz w:val="24"/>
        </w:rPr>
        <w:t xml:space="preserve"> najracionalnije je pokriti </w:t>
      </w:r>
      <w:r w:rsidR="00F43E8D" w:rsidRPr="00F43E8D">
        <w:rPr>
          <w:rFonts w:ascii="Times New Roman" w:hAnsi="Times New Roman" w:cs="Times New Roman"/>
          <w:sz w:val="24"/>
        </w:rPr>
        <w:t xml:space="preserve">ukupne godišnje potrebe za gotovinom kroz približno </w:t>
      </w:r>
      <w:r w:rsidR="00F43E8D">
        <w:rPr>
          <w:rFonts w:ascii="Times New Roman" w:hAnsi="Times New Roman" w:cs="Times New Roman"/>
          <w:sz w:val="24"/>
        </w:rPr>
        <w:t>35 transakcija</w:t>
      </w:r>
      <w:r w:rsidR="00F43E8D" w:rsidRPr="00F43E8D">
        <w:rPr>
          <w:rFonts w:ascii="Times New Roman" w:hAnsi="Times New Roman" w:cs="Times New Roman"/>
          <w:sz w:val="24"/>
        </w:rPr>
        <w:t>, jer to omogućava minimalne ukupne troškove gotovine.</w:t>
      </w:r>
    </w:p>
    <w:p w:rsidR="000409E8" w:rsidRDefault="000409E8" w:rsidP="00076F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4A35" w:rsidRPr="000409E8" w:rsidRDefault="00A74A35" w:rsidP="002504C7">
      <w:pPr>
        <w:pStyle w:val="Pasussalisto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sectPr w:rsidR="00A74A35" w:rsidRPr="00040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69B"/>
    <w:multiLevelType w:val="hybridMultilevel"/>
    <w:tmpl w:val="25E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77B6D"/>
    <w:multiLevelType w:val="hybridMultilevel"/>
    <w:tmpl w:val="A1D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2A5C"/>
    <w:multiLevelType w:val="hybridMultilevel"/>
    <w:tmpl w:val="6178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60650"/>
    <w:multiLevelType w:val="hybridMultilevel"/>
    <w:tmpl w:val="CD8A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63F3"/>
    <w:multiLevelType w:val="hybridMultilevel"/>
    <w:tmpl w:val="F62C77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FD1548F"/>
    <w:multiLevelType w:val="hybridMultilevel"/>
    <w:tmpl w:val="52B0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3AED"/>
    <w:multiLevelType w:val="hybridMultilevel"/>
    <w:tmpl w:val="A2FA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76AA"/>
    <w:multiLevelType w:val="hybridMultilevel"/>
    <w:tmpl w:val="DD4E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728E3"/>
    <w:multiLevelType w:val="hybridMultilevel"/>
    <w:tmpl w:val="42E822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57BD"/>
    <w:multiLevelType w:val="hybridMultilevel"/>
    <w:tmpl w:val="4946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F5F0C"/>
    <w:multiLevelType w:val="hybridMultilevel"/>
    <w:tmpl w:val="4792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D5E07"/>
    <w:multiLevelType w:val="hybridMultilevel"/>
    <w:tmpl w:val="02C46FC0"/>
    <w:lvl w:ilvl="0" w:tplc="B9407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AA2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C8A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024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2C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E39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A73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077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E0F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426FA"/>
    <w:multiLevelType w:val="hybridMultilevel"/>
    <w:tmpl w:val="D23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9550B"/>
    <w:multiLevelType w:val="hybridMultilevel"/>
    <w:tmpl w:val="9EE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9576D"/>
    <w:multiLevelType w:val="hybridMultilevel"/>
    <w:tmpl w:val="9B9C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7737D"/>
    <w:multiLevelType w:val="hybridMultilevel"/>
    <w:tmpl w:val="93D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60953"/>
    <w:multiLevelType w:val="hybridMultilevel"/>
    <w:tmpl w:val="EED8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44D04"/>
    <w:multiLevelType w:val="hybridMultilevel"/>
    <w:tmpl w:val="6DA4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F6086"/>
    <w:multiLevelType w:val="hybridMultilevel"/>
    <w:tmpl w:val="A13C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41CE1"/>
    <w:multiLevelType w:val="hybridMultilevel"/>
    <w:tmpl w:val="525C2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34B1F"/>
    <w:multiLevelType w:val="hybridMultilevel"/>
    <w:tmpl w:val="750A7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33B1A"/>
    <w:multiLevelType w:val="hybridMultilevel"/>
    <w:tmpl w:val="1BE8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E9"/>
    <w:multiLevelType w:val="hybridMultilevel"/>
    <w:tmpl w:val="0F8C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865C9"/>
    <w:multiLevelType w:val="hybridMultilevel"/>
    <w:tmpl w:val="4B3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17"/>
  </w:num>
  <w:num w:numId="17">
    <w:abstractNumId w:val="1"/>
  </w:num>
  <w:num w:numId="18">
    <w:abstractNumId w:val="23"/>
  </w:num>
  <w:num w:numId="19">
    <w:abstractNumId w:val="4"/>
  </w:num>
  <w:num w:numId="20">
    <w:abstractNumId w:val="13"/>
  </w:num>
  <w:num w:numId="21">
    <w:abstractNumId w:val="22"/>
  </w:num>
  <w:num w:numId="22">
    <w:abstractNumId w:val="1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14"/>
    <w:rsid w:val="0000384D"/>
    <w:rsid w:val="00004E57"/>
    <w:rsid w:val="00033EFD"/>
    <w:rsid w:val="000409E8"/>
    <w:rsid w:val="00041001"/>
    <w:rsid w:val="000504B0"/>
    <w:rsid w:val="0005649C"/>
    <w:rsid w:val="0007609C"/>
    <w:rsid w:val="00076FC5"/>
    <w:rsid w:val="000840B1"/>
    <w:rsid w:val="00090EF3"/>
    <w:rsid w:val="000978C6"/>
    <w:rsid w:val="000A3D39"/>
    <w:rsid w:val="000A6B68"/>
    <w:rsid w:val="000B2CFB"/>
    <w:rsid w:val="000D5005"/>
    <w:rsid w:val="000D537E"/>
    <w:rsid w:val="000D671F"/>
    <w:rsid w:val="000E0689"/>
    <w:rsid w:val="000E36A8"/>
    <w:rsid w:val="000F1A3D"/>
    <w:rsid w:val="000F2498"/>
    <w:rsid w:val="000F5F42"/>
    <w:rsid w:val="00102AFC"/>
    <w:rsid w:val="00102BFC"/>
    <w:rsid w:val="001065BF"/>
    <w:rsid w:val="00116A7F"/>
    <w:rsid w:val="0011718D"/>
    <w:rsid w:val="00120CD1"/>
    <w:rsid w:val="0012769D"/>
    <w:rsid w:val="001320B8"/>
    <w:rsid w:val="00146DD3"/>
    <w:rsid w:val="00150A7F"/>
    <w:rsid w:val="001541ED"/>
    <w:rsid w:val="00164CF6"/>
    <w:rsid w:val="00166391"/>
    <w:rsid w:val="00175726"/>
    <w:rsid w:val="001767F5"/>
    <w:rsid w:val="00190A8E"/>
    <w:rsid w:val="001936CF"/>
    <w:rsid w:val="001A19FD"/>
    <w:rsid w:val="001C3C59"/>
    <w:rsid w:val="001D0AEC"/>
    <w:rsid w:val="001E41AF"/>
    <w:rsid w:val="001E4DC0"/>
    <w:rsid w:val="001F0D5E"/>
    <w:rsid w:val="001F2047"/>
    <w:rsid w:val="00212585"/>
    <w:rsid w:val="00216D58"/>
    <w:rsid w:val="0022673D"/>
    <w:rsid w:val="0024425A"/>
    <w:rsid w:val="002504C7"/>
    <w:rsid w:val="002629AF"/>
    <w:rsid w:val="00262E57"/>
    <w:rsid w:val="0027238D"/>
    <w:rsid w:val="00285DDE"/>
    <w:rsid w:val="002931B9"/>
    <w:rsid w:val="00295FC7"/>
    <w:rsid w:val="00296E86"/>
    <w:rsid w:val="002A0C39"/>
    <w:rsid w:val="002A30AD"/>
    <w:rsid w:val="002B0AE4"/>
    <w:rsid w:val="002B17AF"/>
    <w:rsid w:val="002B19CE"/>
    <w:rsid w:val="002B39A9"/>
    <w:rsid w:val="002B5659"/>
    <w:rsid w:val="002C2548"/>
    <w:rsid w:val="002C498A"/>
    <w:rsid w:val="002D6549"/>
    <w:rsid w:val="00320A73"/>
    <w:rsid w:val="00322331"/>
    <w:rsid w:val="0032258D"/>
    <w:rsid w:val="00322AF1"/>
    <w:rsid w:val="00327E28"/>
    <w:rsid w:val="00327FE0"/>
    <w:rsid w:val="0033112A"/>
    <w:rsid w:val="00340786"/>
    <w:rsid w:val="00352C79"/>
    <w:rsid w:val="003557B6"/>
    <w:rsid w:val="003636DE"/>
    <w:rsid w:val="003662A5"/>
    <w:rsid w:val="003718C8"/>
    <w:rsid w:val="00376CB9"/>
    <w:rsid w:val="00380864"/>
    <w:rsid w:val="00385BE2"/>
    <w:rsid w:val="003A10F8"/>
    <w:rsid w:val="003A1918"/>
    <w:rsid w:val="003A4704"/>
    <w:rsid w:val="003B4381"/>
    <w:rsid w:val="003B5352"/>
    <w:rsid w:val="003C17D6"/>
    <w:rsid w:val="003C1ABF"/>
    <w:rsid w:val="003C4304"/>
    <w:rsid w:val="003E0041"/>
    <w:rsid w:val="003E2415"/>
    <w:rsid w:val="003E660A"/>
    <w:rsid w:val="003E6E12"/>
    <w:rsid w:val="003E76BC"/>
    <w:rsid w:val="003F02B2"/>
    <w:rsid w:val="003F05E2"/>
    <w:rsid w:val="003F3EAB"/>
    <w:rsid w:val="00401C37"/>
    <w:rsid w:val="0043205C"/>
    <w:rsid w:val="00434709"/>
    <w:rsid w:val="00440CA4"/>
    <w:rsid w:val="00440EC0"/>
    <w:rsid w:val="00450955"/>
    <w:rsid w:val="004634CC"/>
    <w:rsid w:val="0046486C"/>
    <w:rsid w:val="00483646"/>
    <w:rsid w:val="0049132D"/>
    <w:rsid w:val="004A3CE6"/>
    <w:rsid w:val="004B1827"/>
    <w:rsid w:val="004B2406"/>
    <w:rsid w:val="004B302F"/>
    <w:rsid w:val="004E69B4"/>
    <w:rsid w:val="004F18BA"/>
    <w:rsid w:val="0050737C"/>
    <w:rsid w:val="005148F0"/>
    <w:rsid w:val="005156B2"/>
    <w:rsid w:val="00537497"/>
    <w:rsid w:val="0055040E"/>
    <w:rsid w:val="0055158B"/>
    <w:rsid w:val="005574A3"/>
    <w:rsid w:val="00567F26"/>
    <w:rsid w:val="0057357F"/>
    <w:rsid w:val="00596913"/>
    <w:rsid w:val="00597DAD"/>
    <w:rsid w:val="005B07B2"/>
    <w:rsid w:val="005B2BD3"/>
    <w:rsid w:val="005D2134"/>
    <w:rsid w:val="005D6A71"/>
    <w:rsid w:val="005D7B1F"/>
    <w:rsid w:val="005E0B33"/>
    <w:rsid w:val="005E1DB7"/>
    <w:rsid w:val="005F451C"/>
    <w:rsid w:val="0062492E"/>
    <w:rsid w:val="00632A17"/>
    <w:rsid w:val="006460A4"/>
    <w:rsid w:val="006541FE"/>
    <w:rsid w:val="006551C1"/>
    <w:rsid w:val="0066647E"/>
    <w:rsid w:val="00676EEB"/>
    <w:rsid w:val="0068086D"/>
    <w:rsid w:val="00686E19"/>
    <w:rsid w:val="006A5177"/>
    <w:rsid w:val="006F1BA3"/>
    <w:rsid w:val="00702AA5"/>
    <w:rsid w:val="00710733"/>
    <w:rsid w:val="00746B0E"/>
    <w:rsid w:val="007500A3"/>
    <w:rsid w:val="007503F6"/>
    <w:rsid w:val="0075092F"/>
    <w:rsid w:val="0075597C"/>
    <w:rsid w:val="00757752"/>
    <w:rsid w:val="00770CF9"/>
    <w:rsid w:val="00774333"/>
    <w:rsid w:val="00775721"/>
    <w:rsid w:val="0079505B"/>
    <w:rsid w:val="007A1FEE"/>
    <w:rsid w:val="007A23BF"/>
    <w:rsid w:val="007A245C"/>
    <w:rsid w:val="007C1314"/>
    <w:rsid w:val="007C4CC5"/>
    <w:rsid w:val="007C6262"/>
    <w:rsid w:val="007D7A86"/>
    <w:rsid w:val="007E1C32"/>
    <w:rsid w:val="007E4875"/>
    <w:rsid w:val="007E5AB2"/>
    <w:rsid w:val="008005D1"/>
    <w:rsid w:val="00802092"/>
    <w:rsid w:val="00815BBD"/>
    <w:rsid w:val="0082211C"/>
    <w:rsid w:val="00830B5F"/>
    <w:rsid w:val="008323BB"/>
    <w:rsid w:val="00832F62"/>
    <w:rsid w:val="00833E13"/>
    <w:rsid w:val="0085363F"/>
    <w:rsid w:val="00854BA9"/>
    <w:rsid w:val="008607A2"/>
    <w:rsid w:val="0089216F"/>
    <w:rsid w:val="008941FE"/>
    <w:rsid w:val="0089438C"/>
    <w:rsid w:val="00896422"/>
    <w:rsid w:val="008A54A2"/>
    <w:rsid w:val="008B1243"/>
    <w:rsid w:val="008D43E7"/>
    <w:rsid w:val="008D7743"/>
    <w:rsid w:val="008E7779"/>
    <w:rsid w:val="008F725F"/>
    <w:rsid w:val="009001E8"/>
    <w:rsid w:val="00903C2C"/>
    <w:rsid w:val="009040F0"/>
    <w:rsid w:val="009073B4"/>
    <w:rsid w:val="009229F4"/>
    <w:rsid w:val="00947EAE"/>
    <w:rsid w:val="00954CC6"/>
    <w:rsid w:val="00962D02"/>
    <w:rsid w:val="00966C0F"/>
    <w:rsid w:val="0097178A"/>
    <w:rsid w:val="00973AA3"/>
    <w:rsid w:val="00981082"/>
    <w:rsid w:val="00986618"/>
    <w:rsid w:val="00987E6E"/>
    <w:rsid w:val="00993DAF"/>
    <w:rsid w:val="009B690D"/>
    <w:rsid w:val="009B704D"/>
    <w:rsid w:val="009C3E58"/>
    <w:rsid w:val="009C4AC6"/>
    <w:rsid w:val="009D7D94"/>
    <w:rsid w:val="00A01C71"/>
    <w:rsid w:val="00A07A6A"/>
    <w:rsid w:val="00A15684"/>
    <w:rsid w:val="00A1625B"/>
    <w:rsid w:val="00A21D3B"/>
    <w:rsid w:val="00A33189"/>
    <w:rsid w:val="00A45002"/>
    <w:rsid w:val="00A56188"/>
    <w:rsid w:val="00A568B5"/>
    <w:rsid w:val="00A644DC"/>
    <w:rsid w:val="00A74A35"/>
    <w:rsid w:val="00A837DA"/>
    <w:rsid w:val="00A92394"/>
    <w:rsid w:val="00A95978"/>
    <w:rsid w:val="00A97262"/>
    <w:rsid w:val="00AB177B"/>
    <w:rsid w:val="00AB70A3"/>
    <w:rsid w:val="00AC2DC7"/>
    <w:rsid w:val="00AD45D8"/>
    <w:rsid w:val="00AD4FBB"/>
    <w:rsid w:val="00AD50AD"/>
    <w:rsid w:val="00AD670E"/>
    <w:rsid w:val="00AE65B6"/>
    <w:rsid w:val="00B04B83"/>
    <w:rsid w:val="00B2350E"/>
    <w:rsid w:val="00B2746A"/>
    <w:rsid w:val="00B368DA"/>
    <w:rsid w:val="00B47135"/>
    <w:rsid w:val="00B5043E"/>
    <w:rsid w:val="00B64BB2"/>
    <w:rsid w:val="00B806BB"/>
    <w:rsid w:val="00B818BF"/>
    <w:rsid w:val="00B8619C"/>
    <w:rsid w:val="00B92393"/>
    <w:rsid w:val="00BA5E47"/>
    <w:rsid w:val="00BB5134"/>
    <w:rsid w:val="00BB6341"/>
    <w:rsid w:val="00BC71CD"/>
    <w:rsid w:val="00BD20D8"/>
    <w:rsid w:val="00BE1433"/>
    <w:rsid w:val="00BE4DA2"/>
    <w:rsid w:val="00BE5A82"/>
    <w:rsid w:val="00BE7A9F"/>
    <w:rsid w:val="00BF2636"/>
    <w:rsid w:val="00BF2845"/>
    <w:rsid w:val="00C10CC2"/>
    <w:rsid w:val="00C400C1"/>
    <w:rsid w:val="00C45F7B"/>
    <w:rsid w:val="00C57DA5"/>
    <w:rsid w:val="00C61CE8"/>
    <w:rsid w:val="00C67F1A"/>
    <w:rsid w:val="00C70775"/>
    <w:rsid w:val="00C7242F"/>
    <w:rsid w:val="00C746B8"/>
    <w:rsid w:val="00C83B77"/>
    <w:rsid w:val="00C87EDA"/>
    <w:rsid w:val="00C96EB5"/>
    <w:rsid w:val="00CA2045"/>
    <w:rsid w:val="00CA655C"/>
    <w:rsid w:val="00CB5DAA"/>
    <w:rsid w:val="00CC0167"/>
    <w:rsid w:val="00CC5E93"/>
    <w:rsid w:val="00CD142C"/>
    <w:rsid w:val="00CD3258"/>
    <w:rsid w:val="00CD3DDB"/>
    <w:rsid w:val="00CE1F93"/>
    <w:rsid w:val="00CF7CE5"/>
    <w:rsid w:val="00D07BFF"/>
    <w:rsid w:val="00D10FCD"/>
    <w:rsid w:val="00D11C87"/>
    <w:rsid w:val="00D16D70"/>
    <w:rsid w:val="00D22FE2"/>
    <w:rsid w:val="00D2537E"/>
    <w:rsid w:val="00D25A9D"/>
    <w:rsid w:val="00D264E7"/>
    <w:rsid w:val="00D332B9"/>
    <w:rsid w:val="00D34E67"/>
    <w:rsid w:val="00D35F40"/>
    <w:rsid w:val="00D430D0"/>
    <w:rsid w:val="00D47F56"/>
    <w:rsid w:val="00D53B90"/>
    <w:rsid w:val="00D64721"/>
    <w:rsid w:val="00D740BE"/>
    <w:rsid w:val="00D749C9"/>
    <w:rsid w:val="00D94B86"/>
    <w:rsid w:val="00DB0B40"/>
    <w:rsid w:val="00DC3FDD"/>
    <w:rsid w:val="00DD7469"/>
    <w:rsid w:val="00DF2B82"/>
    <w:rsid w:val="00DF31DC"/>
    <w:rsid w:val="00DF6645"/>
    <w:rsid w:val="00E05C48"/>
    <w:rsid w:val="00E27833"/>
    <w:rsid w:val="00E40A45"/>
    <w:rsid w:val="00E437F9"/>
    <w:rsid w:val="00E70A56"/>
    <w:rsid w:val="00E74EA0"/>
    <w:rsid w:val="00E85E79"/>
    <w:rsid w:val="00EB4AA4"/>
    <w:rsid w:val="00EC15C6"/>
    <w:rsid w:val="00EC3004"/>
    <w:rsid w:val="00ED4712"/>
    <w:rsid w:val="00EE16E5"/>
    <w:rsid w:val="00EE24DB"/>
    <w:rsid w:val="00EE3C17"/>
    <w:rsid w:val="00EE4AA1"/>
    <w:rsid w:val="00EF70F2"/>
    <w:rsid w:val="00EF74AA"/>
    <w:rsid w:val="00F0052E"/>
    <w:rsid w:val="00F04B4A"/>
    <w:rsid w:val="00F225E5"/>
    <w:rsid w:val="00F24153"/>
    <w:rsid w:val="00F435F9"/>
    <w:rsid w:val="00F43E06"/>
    <w:rsid w:val="00F43E8D"/>
    <w:rsid w:val="00F605E6"/>
    <w:rsid w:val="00F62C3B"/>
    <w:rsid w:val="00F725DA"/>
    <w:rsid w:val="00F737F9"/>
    <w:rsid w:val="00F73F67"/>
    <w:rsid w:val="00F75EA7"/>
    <w:rsid w:val="00F91ABC"/>
    <w:rsid w:val="00F96EB5"/>
    <w:rsid w:val="00F97436"/>
    <w:rsid w:val="00FA0606"/>
    <w:rsid w:val="00FA2250"/>
    <w:rsid w:val="00FA38F7"/>
    <w:rsid w:val="00FB187E"/>
    <w:rsid w:val="00FB73B6"/>
    <w:rsid w:val="00FB7F08"/>
    <w:rsid w:val="00FC4D13"/>
    <w:rsid w:val="00FD135D"/>
    <w:rsid w:val="00FE0F17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367A-A1CE-4F6E-9ADA-B6678B0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8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D35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45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F737F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E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E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7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0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9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77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8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8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5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1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7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Milan Momčilović</cp:lastModifiedBy>
  <cp:revision>3</cp:revision>
  <dcterms:created xsi:type="dcterms:W3CDTF">2020-03-18T08:59:00Z</dcterms:created>
  <dcterms:modified xsi:type="dcterms:W3CDTF">2020-03-18T13:25:00Z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