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65" w:rsidRDefault="00347D65" w:rsidP="003F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position w:val="-22"/>
          <w:sz w:val="24"/>
          <w:szCs w:val="24"/>
        </w:rPr>
        <w:t>UPRAVLJANJE ZALIHAMA I POTRAŽIVANJA</w:t>
      </w:r>
      <w:bookmarkStart w:id="0" w:name="_GoBack"/>
      <w:bookmarkEnd w:id="0"/>
    </w:p>
    <w:p w:rsidR="00A0414B" w:rsidRPr="003F3EAB" w:rsidRDefault="00A0414B" w:rsidP="003F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position w:val="-22"/>
          <w:sz w:val="24"/>
          <w:szCs w:val="24"/>
        </w:rPr>
        <w:t>Upravljanje zalihama</w:t>
      </w:r>
    </w:p>
    <w:p w:rsidR="003F3EAB" w:rsidRDefault="003F3EAB" w:rsidP="00B04B83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22"/>
          <w:sz w:val="24"/>
          <w:szCs w:val="24"/>
        </w:rPr>
      </w:pPr>
    </w:p>
    <w:p w:rsidR="00BF0DC8" w:rsidRDefault="005278E5" w:rsidP="00A0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Zalihe predstavljaju najnelikvidniji oblik tekuće imovine preduzeća. </w:t>
      </w:r>
      <w:r w:rsidR="00A0414B" w:rsidRPr="00A0414B">
        <w:rPr>
          <w:rFonts w:ascii="Times New Roman" w:eastAsia="Times New Roman" w:hAnsi="Times New Roman" w:cs="Times New Roman"/>
          <w:sz w:val="24"/>
          <w:szCs w:val="24"/>
          <w:lang w:val="sr-Latn-CS"/>
        </w:rPr>
        <w:t>Zbog vezivanja gotovine u zalihama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opasnosti da značajniji iznosi gotovine budu na duži period zarobljeni u zalihama,</w:t>
      </w:r>
      <w:r w:rsidR="00A0414B" w:rsidRPr="00A0414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upravljanje zalihama se javlja kao izuzetno bita</w:t>
      </w:r>
      <w:r w:rsidR="00BF0DC8">
        <w:rPr>
          <w:rFonts w:ascii="Times New Roman" w:eastAsia="Times New Roman" w:hAnsi="Times New Roman" w:cs="Times New Roman"/>
          <w:sz w:val="24"/>
          <w:szCs w:val="24"/>
          <w:lang w:val="sr-Latn-CS"/>
        </w:rPr>
        <w:t>n deo finansijskog menadžmenta.</w:t>
      </w:r>
      <w:r w:rsidR="00A0414B" w:rsidRPr="00A0414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Efikasnost </w:t>
      </w:r>
      <w:r w:rsidR="00EB1E6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upravljanja zalihama </w:t>
      </w:r>
      <w:r w:rsidR="00A0414B" w:rsidRPr="00A0414B">
        <w:rPr>
          <w:rFonts w:ascii="Times New Roman" w:eastAsia="Times New Roman" w:hAnsi="Times New Roman" w:cs="Times New Roman"/>
          <w:sz w:val="24"/>
          <w:szCs w:val="24"/>
          <w:lang w:val="sr-Latn-CS"/>
        </w:rPr>
        <w:t>se manifestuje povećanjem koeficijenta obrta ukupnih zaliha i skraćenjem prosečnog vremena trajanja obrta zaliha.</w:t>
      </w:r>
    </w:p>
    <w:p w:rsidR="00BF0DC8" w:rsidRDefault="00BF0DC8" w:rsidP="00A0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F0DC8">
        <w:rPr>
          <w:rFonts w:ascii="Times New Roman" w:eastAsia="Times New Roman" w:hAnsi="Times New Roman" w:cs="Times New Roman"/>
          <w:position w:val="-30"/>
          <w:sz w:val="24"/>
          <w:szCs w:val="24"/>
          <w:lang w:val="sr-Latn-CS"/>
        </w:rPr>
        <w:object w:dxaOrig="53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33.75pt" o:ole="">
            <v:imagedata r:id="rId5" o:title=""/>
          </v:shape>
          <o:OLEObject Type="Embed" ProgID="Equation.DSMT4" ShapeID="_x0000_i1025" DrawAspect="Content" ObjectID="_1646046845" r:id="rId6"/>
        </w:objec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A0414B" w:rsidRDefault="00BF0DC8" w:rsidP="00A0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Neophodnost držanja zaliha proizilazi iz: p</w:t>
      </w:r>
      <w:r w:rsidR="00A0414B" w:rsidRPr="00A0414B">
        <w:rPr>
          <w:rFonts w:ascii="Times New Roman" w:eastAsia="Times New Roman" w:hAnsi="Times New Roman" w:cs="Times New Roman"/>
          <w:sz w:val="24"/>
          <w:szCs w:val="24"/>
          <w:lang w:val="sr-Latn-CS"/>
        </w:rPr>
        <w:t>rincip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a skupljih manjih nabavki (</w:t>
      </w:r>
      <w:r w:rsidR="00A0414B" w:rsidRPr="00A0414B">
        <w:rPr>
          <w:rFonts w:ascii="Times New Roman" w:eastAsia="Times New Roman" w:hAnsi="Times New Roman" w:cs="Times New Roman"/>
          <w:sz w:val="24"/>
          <w:szCs w:val="24"/>
          <w:lang w:val="sr-Latn-CS"/>
        </w:rPr>
        <w:t>cenu po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većavaju i transportni troškovi), mogućnosti zastoja proizvodnje</w:t>
      </w:r>
      <w:r w:rsidR="00A0414B" w:rsidRPr="00A0414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(</w:t>
      </w:r>
      <w:r w:rsidR="00A0414B" w:rsidRPr="00A0414B">
        <w:rPr>
          <w:rFonts w:ascii="Times New Roman" w:eastAsia="Times New Roman" w:hAnsi="Times New Roman" w:cs="Times New Roman"/>
          <w:sz w:val="24"/>
          <w:szCs w:val="24"/>
          <w:lang w:val="sr-Latn-CS"/>
        </w:rPr>
        <w:t>tj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="00A0414B" w:rsidRPr="00A0414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nestašice ma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terijala, kašnjenja isporuka...) š</w:t>
      </w:r>
      <w:r w:rsidR="00A0414B" w:rsidRPr="00A0414B">
        <w:rPr>
          <w:rFonts w:ascii="Times New Roman" w:eastAsia="Times New Roman" w:hAnsi="Times New Roman" w:cs="Times New Roman"/>
          <w:sz w:val="24"/>
          <w:szCs w:val="24"/>
          <w:lang w:val="sr-Latn-CS"/>
        </w:rPr>
        <w:t>to nosi rizik od gubljenja prihoda usled neblagovremene nabavke, obezbeđenja kontinuiranog procesa proizvodnje.</w:t>
      </w:r>
    </w:p>
    <w:p w:rsidR="00A0414B" w:rsidRPr="00A0414B" w:rsidRDefault="00BF0DC8" w:rsidP="00A0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Upravljanje zalihama se svodi na analizu troškova i korisnosti od držanja zaliha (cost benefit analiza). </w:t>
      </w:r>
      <w:r w:rsidR="00A0414B" w:rsidRPr="00A0414B">
        <w:rPr>
          <w:rFonts w:ascii="Times New Roman" w:eastAsia="Times New Roman" w:hAnsi="Times New Roman" w:cs="Times New Roman"/>
          <w:sz w:val="24"/>
          <w:szCs w:val="24"/>
          <w:lang w:val="sr-Latn-CS"/>
        </w:rPr>
        <w:t>Optimalni obim zaliha je nivo zaliha koji prouzrokuje najniže ukupne troškove držanja zaliha.</w:t>
      </w:r>
    </w:p>
    <w:p w:rsidR="00A0414B" w:rsidRPr="00A0414B" w:rsidRDefault="00A0414B" w:rsidP="00A0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A0414B" w:rsidRPr="008B78E2" w:rsidRDefault="00C62D6D" w:rsidP="00A041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  <w:r w:rsidRPr="008B78E2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Troškovi zaliha</w:t>
      </w:r>
    </w:p>
    <w:p w:rsidR="00A0414B" w:rsidRDefault="00A0414B" w:rsidP="00A0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0414B">
        <w:rPr>
          <w:rFonts w:ascii="Times New Roman" w:eastAsia="Times New Roman" w:hAnsi="Times New Roman" w:cs="Times New Roman"/>
          <w:sz w:val="24"/>
          <w:szCs w:val="24"/>
          <w:lang w:val="sr-Latn-CS"/>
        </w:rPr>
        <w:t>Nepotrebne i visoke zalihe proizvode nepotrebne troškove i ugrožavaju likvidnost preduzeća.</w:t>
      </w:r>
      <w:r w:rsidR="00C62D6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0414B">
        <w:rPr>
          <w:rFonts w:ascii="Times New Roman" w:eastAsia="Times New Roman" w:hAnsi="Times New Roman" w:cs="Times New Roman"/>
          <w:sz w:val="24"/>
          <w:szCs w:val="24"/>
          <w:lang w:val="sr-Latn-CS"/>
        </w:rPr>
        <w:t>Držanje zaliha pretpostavlja troškove: porudžbine, uskladištenja, čuvanja, osiguranja od loma, krađe, požara, uloženog novca koji ne donosi kamatu.</w:t>
      </w:r>
      <w:r w:rsidR="00C62D6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Troškovi zaliha se dele na:</w:t>
      </w:r>
    </w:p>
    <w:p w:rsidR="00A0414B" w:rsidRPr="00C62D6D" w:rsidRDefault="00757463" w:rsidP="00C62D6D">
      <w:pPr>
        <w:pStyle w:val="Pasussalistom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T</w:t>
      </w:r>
      <w:r w:rsidR="00645A21" w:rsidRPr="00645A21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roškove pribavljanja zaliha</w:t>
      </w:r>
      <w:r w:rsidR="00A0414B" w:rsidRPr="00C62D6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– podrazumevaju troškove koji nastaju u procesu nabavke zaliha</w:t>
      </w:r>
      <w:r w:rsidR="00C9498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</w:t>
      </w:r>
      <w:r w:rsidR="00C9498E" w:rsidRPr="00C62D6D">
        <w:rPr>
          <w:rFonts w:ascii="Times New Roman" w:eastAsia="Times New Roman" w:hAnsi="Times New Roman" w:cs="Times New Roman"/>
          <w:sz w:val="24"/>
          <w:szCs w:val="24"/>
          <w:lang w:val="sr-Latn-CS"/>
        </w:rPr>
        <w:t>porudžbine sirovina</w:t>
      </w:r>
      <w:r w:rsidR="00C9498E">
        <w:rPr>
          <w:rFonts w:ascii="Times New Roman" w:eastAsia="Times New Roman" w:hAnsi="Times New Roman" w:cs="Times New Roman"/>
          <w:sz w:val="24"/>
          <w:szCs w:val="24"/>
          <w:lang w:val="sr-Latn-CS"/>
        </w:rPr>
        <w:t>, materijala, gotovih proizvoda)</w:t>
      </w:r>
      <w:r w:rsidR="00A0414B" w:rsidRPr="00C62D6D">
        <w:rPr>
          <w:rFonts w:ascii="Times New Roman" w:eastAsia="Times New Roman" w:hAnsi="Times New Roman" w:cs="Times New Roman"/>
          <w:sz w:val="24"/>
          <w:szCs w:val="24"/>
          <w:lang w:val="sr-Latn-CS"/>
        </w:rPr>
        <w:t>. Oni su vezani z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a pregovore sa dobavljačima, troškove</w:t>
      </w:r>
      <w:r w:rsidR="00A0414B" w:rsidRPr="00C62D6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ispos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tavljanja porudžbina, troškove</w:t>
      </w:r>
      <w:r w:rsidR="00A0414B" w:rsidRPr="00C62D6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prijema, istovara, kontrole i smeštaja, evidencije, isplate nabavnih faktura itd.</w:t>
      </w:r>
    </w:p>
    <w:p w:rsidR="00A0414B" w:rsidRPr="00C62D6D" w:rsidRDefault="00757463" w:rsidP="00C62D6D">
      <w:pPr>
        <w:pStyle w:val="Pasussalistom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T</w:t>
      </w:r>
      <w:r w:rsidR="00645A21" w:rsidRPr="00645A21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roškove držanja zaliha</w:t>
      </w:r>
      <w:r w:rsidR="00A0414B" w:rsidRPr="00C62D6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– troškovi magacinskog prostora i opreme</w:t>
      </w:r>
      <w:r w:rsidR="00C62D6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</w:t>
      </w:r>
      <w:r w:rsidR="00A0414B" w:rsidRPr="00C62D6D">
        <w:rPr>
          <w:rFonts w:ascii="Times New Roman" w:eastAsia="Times New Roman" w:hAnsi="Times New Roman" w:cs="Times New Roman"/>
          <w:sz w:val="24"/>
          <w:szCs w:val="24"/>
          <w:lang w:val="sr-Latn-CS"/>
        </w:rPr>
        <w:t>amortizacija, održavanje, zakupnina, klimatizacija, zaštita)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="00A0414B" w:rsidRPr="00C62D6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troškovi vezivanja gotovine, troškovi osiguranja.</w:t>
      </w:r>
    </w:p>
    <w:p w:rsidR="00A0414B" w:rsidRPr="00C62D6D" w:rsidRDefault="00757463" w:rsidP="00C62D6D">
      <w:pPr>
        <w:pStyle w:val="Pasussalistom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T</w:t>
      </w:r>
      <w:r w:rsidR="00645A21" w:rsidRPr="00645A21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roškove nedostatka zaliha</w:t>
      </w:r>
      <w:r w:rsidR="00C62D6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– n</w:t>
      </w:r>
      <w:r w:rsidR="00A0414B" w:rsidRPr="00C62D6D">
        <w:rPr>
          <w:rFonts w:ascii="Times New Roman" w:eastAsia="Times New Roman" w:hAnsi="Times New Roman" w:cs="Times New Roman"/>
          <w:sz w:val="24"/>
          <w:szCs w:val="24"/>
          <w:lang w:val="sr-Latn-CS"/>
        </w:rPr>
        <w:t>astaju usled nestašica zaliha sirovina i materijala od kojih zavisi proces proizvodnje. Kod nestašice gotovih proizvoda, nivo troškova će zavisiti od reakcije kupca, tj</w:t>
      </w:r>
      <w:r w:rsidR="00C9498E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="00A0414B" w:rsidRPr="00C62D6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od njegovog odustajanja od porudžbine ili prihvatanja supstituta za proizvod.</w:t>
      </w:r>
    </w:p>
    <w:p w:rsidR="00A0414B" w:rsidRPr="00A0414B" w:rsidRDefault="00A0414B" w:rsidP="00A0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0414B">
        <w:rPr>
          <w:rFonts w:ascii="Times New Roman" w:eastAsia="Times New Roman" w:hAnsi="Times New Roman" w:cs="Times New Roman"/>
          <w:sz w:val="24"/>
          <w:szCs w:val="24"/>
          <w:lang w:val="sr-Latn-CS"/>
        </w:rPr>
        <w:t>Osnovne odluk</w:t>
      </w:r>
      <w:r w:rsidR="00C9498E">
        <w:rPr>
          <w:rFonts w:ascii="Times New Roman" w:eastAsia="Times New Roman" w:hAnsi="Times New Roman" w:cs="Times New Roman"/>
          <w:sz w:val="24"/>
          <w:szCs w:val="24"/>
          <w:lang w:val="sr-Latn-CS"/>
        </w:rPr>
        <w:t>e finansijskog menadžera vezane</w:t>
      </w:r>
      <w:r w:rsidRPr="00A0414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za zalihe </w:t>
      </w:r>
      <w:r w:rsidR="00C62D6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se odnose na donošenje odluke o </w:t>
      </w:r>
      <w:r w:rsidRPr="00A0414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potrebnoj količini nabavke zaliha u ok</w:t>
      </w:r>
      <w:r w:rsidR="00C9498E">
        <w:rPr>
          <w:rFonts w:ascii="Times New Roman" w:eastAsia="Times New Roman" w:hAnsi="Times New Roman" w:cs="Times New Roman"/>
          <w:sz w:val="24"/>
          <w:szCs w:val="24"/>
          <w:lang w:val="sr-Latn-CS"/>
        </w:rPr>
        <w:t>viru jedne porudžbine ili serije</w:t>
      </w:r>
      <w:r w:rsidRPr="00A0414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porudžbina </w:t>
      </w:r>
      <w:r w:rsidR="00C62D6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</w:t>
      </w:r>
      <w:r w:rsidRPr="00A0414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vremenskim intervalima porudžbina</w:t>
      </w:r>
      <w:r w:rsidR="00C62D6D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="00C9498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0414B">
        <w:rPr>
          <w:rFonts w:ascii="Times New Roman" w:eastAsia="Times New Roman" w:hAnsi="Times New Roman" w:cs="Times New Roman"/>
          <w:sz w:val="24"/>
          <w:szCs w:val="24"/>
          <w:lang w:val="sr-Latn-CS"/>
        </w:rPr>
        <w:t>Optimalna porudžbina bi bila ona koja prouzrokuje najniže troškove pribavljanja i održavanja zaliha.</w:t>
      </w:r>
      <w:r w:rsidR="00C62D6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</w:t>
      </w:r>
      <w:r w:rsidRPr="00A0414B">
        <w:rPr>
          <w:rFonts w:ascii="Times New Roman" w:eastAsia="Times New Roman" w:hAnsi="Times New Roman" w:cs="Times New Roman"/>
          <w:sz w:val="24"/>
          <w:szCs w:val="24"/>
          <w:lang w:val="sr-Latn-CS"/>
        </w:rPr>
        <w:t>ntervali pribavljanja zavise od balansiranja troškova držanja zaliha sa troškovima njihovog nedostatka.</w:t>
      </w:r>
    </w:p>
    <w:p w:rsidR="00C9498E" w:rsidRDefault="00C9498E" w:rsidP="008C2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Preduzeća upražnjavaju ili </w:t>
      </w:r>
      <w:r w:rsidRPr="00C9498E">
        <w:rPr>
          <w:rFonts w:ascii="Times New Roman" w:eastAsia="Times New Roman" w:hAnsi="Times New Roman" w:cs="Times New Roman"/>
          <w:sz w:val="24"/>
          <w:szCs w:val="24"/>
          <w:lang w:val="sr-Latn-CS"/>
        </w:rPr>
        <w:t>s</w:t>
      </w:r>
      <w:r w:rsidR="00A0414B" w:rsidRPr="00C9498E">
        <w:rPr>
          <w:rFonts w:ascii="Times New Roman" w:eastAsia="Times New Roman" w:hAnsi="Times New Roman" w:cs="Times New Roman"/>
          <w:sz w:val="24"/>
          <w:szCs w:val="24"/>
          <w:lang w:val="sr-Latn-CS"/>
        </w:rPr>
        <w:t>istem sigurnosnih zaliha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</w:t>
      </w:r>
      <w:r w:rsidRPr="00C9498E">
        <w:rPr>
          <w:rFonts w:ascii="Times New Roman" w:eastAsia="Times New Roman" w:hAnsi="Times New Roman" w:cs="Times New Roman"/>
          <w:sz w:val="24"/>
          <w:szCs w:val="24"/>
          <w:lang w:val="sr-Latn-CS"/>
        </w:rPr>
        <w:t>stvaranje određenih rezervi za predupređi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vanje situacije nestanka zaliha) ili</w:t>
      </w:r>
      <w:r w:rsidR="008C261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C9498E">
        <w:rPr>
          <w:rFonts w:ascii="Times New Roman" w:eastAsia="Times New Roman" w:hAnsi="Times New Roman" w:cs="Times New Roman"/>
          <w:sz w:val="24"/>
          <w:szCs w:val="24"/>
          <w:lang w:val="sr-Latn-CS"/>
        </w:rPr>
        <w:t>s</w:t>
      </w:r>
      <w:r w:rsidR="00A0414B" w:rsidRPr="00C9498E">
        <w:rPr>
          <w:rFonts w:ascii="Times New Roman" w:eastAsia="Times New Roman" w:hAnsi="Times New Roman" w:cs="Times New Roman"/>
          <w:sz w:val="24"/>
          <w:szCs w:val="24"/>
          <w:lang w:val="sr-Latn-CS"/>
        </w:rPr>
        <w:t>istem pravovremenog upravljanja zalihama</w:t>
      </w:r>
      <w:r w:rsidR="008C261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</w:t>
      </w:r>
      <w:r w:rsidRPr="00C9498E">
        <w:rPr>
          <w:rFonts w:ascii="Times New Roman" w:eastAsia="Times New Roman" w:hAnsi="Times New Roman" w:cs="Times New Roman"/>
          <w:sz w:val="24"/>
          <w:szCs w:val="24"/>
          <w:lang w:val="sr-Latn-CS"/>
        </w:rPr>
        <w:t>pretpostavlja nepostojanje zaliha</w:t>
      </w:r>
      <w:r w:rsidR="008C2615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C9498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</w:p>
    <w:p w:rsidR="00C9498E" w:rsidRPr="00C9498E" w:rsidRDefault="00C9498E" w:rsidP="00C94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8B78E2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Merila efikasnosti</w:t>
      </w:r>
      <w:r w:rsidRPr="00C9498E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C9498E">
        <w:rPr>
          <w:rFonts w:ascii="Times New Roman" w:eastAsia="Times New Roman" w:hAnsi="Times New Roman" w:cs="Times New Roman"/>
          <w:sz w:val="24"/>
          <w:szCs w:val="24"/>
          <w:lang w:val="sr-Latn-CS"/>
        </w:rPr>
        <w:t>upravljanja zalihama su:</w:t>
      </w:r>
    </w:p>
    <w:p w:rsidR="00A0414B" w:rsidRPr="008B78E2" w:rsidRDefault="008C2615" w:rsidP="00C9498E">
      <w:pPr>
        <w:pStyle w:val="Pasussalistom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B78E2">
        <w:rPr>
          <w:rFonts w:ascii="Times New Roman" w:eastAsia="Times New Roman" w:hAnsi="Times New Roman" w:cs="Times New Roman"/>
          <w:sz w:val="24"/>
          <w:szCs w:val="24"/>
          <w:lang w:val="sr-Latn-CS"/>
        </w:rPr>
        <w:t>K</w:t>
      </w:r>
      <w:r w:rsidR="00A0414B" w:rsidRPr="008B78E2">
        <w:rPr>
          <w:rFonts w:ascii="Times New Roman" w:eastAsia="Times New Roman" w:hAnsi="Times New Roman" w:cs="Times New Roman"/>
          <w:sz w:val="24"/>
          <w:szCs w:val="24"/>
          <w:lang w:val="sr-Latn-CS"/>
        </w:rPr>
        <w:t>oeficijent obrta zaliha</w:t>
      </w:r>
      <w:r w:rsidR="00C9498E" w:rsidRPr="008B78E2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</w:p>
    <w:p w:rsidR="0075530E" w:rsidRPr="00EB1E68" w:rsidRDefault="008C2615" w:rsidP="00A0414B">
      <w:pPr>
        <w:pStyle w:val="Pasussalistom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B78E2">
        <w:rPr>
          <w:rFonts w:ascii="Times New Roman" w:eastAsia="Times New Roman" w:hAnsi="Times New Roman" w:cs="Times New Roman"/>
          <w:sz w:val="24"/>
          <w:szCs w:val="24"/>
          <w:lang w:val="sr-Latn-CS"/>
        </w:rPr>
        <w:t>I</w:t>
      </w:r>
      <w:r w:rsidR="00A0414B" w:rsidRPr="008B78E2">
        <w:rPr>
          <w:rFonts w:ascii="Times New Roman" w:eastAsia="Times New Roman" w:hAnsi="Times New Roman" w:cs="Times New Roman"/>
          <w:sz w:val="24"/>
          <w:szCs w:val="24"/>
          <w:lang w:val="sr-Latn-CS"/>
        </w:rPr>
        <w:t>ndeks efikasnosti upravljanja zalihama</w:t>
      </w:r>
      <w:r w:rsidR="00A0414B" w:rsidRPr="00C9498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– relativni odnos između pozitivnih i negativnih odstupanja u raspoloživim zalihama, u odnosu na normirani nivo zaliha koje utvrđuje </w:t>
      </w:r>
      <w:r w:rsidR="00A0414B" w:rsidRPr="00C9498E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preduzeće na bazi prihvatljivog koeficijenta obrta zaliha.</w:t>
      </w:r>
      <w:r w:rsidR="00C9498E" w:rsidRPr="00C9498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0414B" w:rsidRPr="00C9498E">
        <w:rPr>
          <w:rFonts w:ascii="Times New Roman" w:eastAsia="Times New Roman" w:hAnsi="Times New Roman" w:cs="Times New Roman"/>
          <w:sz w:val="24"/>
          <w:szCs w:val="24"/>
          <w:lang w:val="sr-Latn-CS"/>
        </w:rPr>
        <w:t>Sa normiranim zalihama se upoređuju stvarno raspoložive zalihe u skladištu i tako se utvrđuje indeks efikasnosti.</w:t>
      </w:r>
    </w:p>
    <w:p w:rsidR="0075530E" w:rsidRDefault="0075530E" w:rsidP="00A0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75530E" w:rsidRPr="0075530E" w:rsidRDefault="0075530E" w:rsidP="00755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75530E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Upravljanje potraživanjima od kupaca</w:t>
      </w:r>
    </w:p>
    <w:p w:rsidR="0075530E" w:rsidRDefault="0075530E" w:rsidP="00755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D510E" w:rsidRDefault="00747609" w:rsidP="00755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Uprvljanje potraživanjima od kupaca podrazumeva razradu i primenu tehnika i aktivnosti koje doprinose ubrzanju naplate potraživanja, kao i razmatranje svih bitnih faktora koji utiču na uspešnost i usaglašavanje politike prodaje, politike kreditiranja kupaca i politike naplate nastalih potraživanja. Na nivo potraživanja preduzeća utiču spoljašnji (oššti ekonomski uslovi privređivanja, odnosno stanje nacionalne i svetske ekonomije, inflacija, nivo privrednog rasta, ekonomska politika zemlje itd.) i unutrašnji (način strukturiranja cena proizvoda, kvalitet proizvoda, marketi</w:t>
      </w:r>
      <w:r w:rsidR="009057A5">
        <w:rPr>
          <w:rFonts w:ascii="Times New Roman" w:eastAsia="Times New Roman" w:hAnsi="Times New Roman" w:cs="Times New Roman"/>
          <w:sz w:val="24"/>
          <w:szCs w:val="24"/>
          <w:lang w:val="sr-Latn-CS"/>
        </w:rPr>
        <w:t>ng proizvoda, sistem prodaje, kreditna politika prodaje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faktori. </w:t>
      </w:r>
      <w:r w:rsidR="00CD51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Od svih navedenih faktora, finansijski menadžer može da utiče samo na kreditnu politiku preduzeća. </w:t>
      </w:r>
    </w:p>
    <w:p w:rsidR="0075530E" w:rsidRPr="0075530E" w:rsidRDefault="0075530E" w:rsidP="00755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75530E">
        <w:rPr>
          <w:rFonts w:ascii="Times New Roman" w:eastAsia="Times New Roman" w:hAnsi="Times New Roman" w:cs="Times New Roman"/>
          <w:sz w:val="24"/>
          <w:szCs w:val="24"/>
          <w:lang w:val="sr-Latn-CS"/>
        </w:rPr>
        <w:t>Kao i kod ostale tekuće imovine, finansijski menadžer može varirati nivo potraživanja tako da održi ravnotežu iz</w:t>
      </w:r>
      <w:r w:rsidR="00057D6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među profitabilnosti i rizika. </w:t>
      </w:r>
      <w:r w:rsidRPr="0075530E">
        <w:rPr>
          <w:rFonts w:ascii="Times New Roman" w:eastAsia="Times New Roman" w:hAnsi="Times New Roman" w:cs="Times New Roman"/>
          <w:sz w:val="24"/>
          <w:szCs w:val="24"/>
          <w:lang w:val="sr-Latn-CS"/>
        </w:rPr>
        <w:t>Zadatak finansijskog menadžera u upravljanju kupcima se pored ubrzanja naplate nastalih potraživanja svodi i na razmatranje svih bitnih faktora koji utič</w:t>
      </w:r>
      <w:r w:rsidR="00057D6F">
        <w:rPr>
          <w:rFonts w:ascii="Times New Roman" w:eastAsia="Times New Roman" w:hAnsi="Times New Roman" w:cs="Times New Roman"/>
          <w:sz w:val="24"/>
          <w:szCs w:val="24"/>
          <w:lang w:val="sr-Latn-CS"/>
        </w:rPr>
        <w:t>u na uspešnost i usaglašavanje p</w:t>
      </w:r>
      <w:r w:rsidRPr="0075530E">
        <w:rPr>
          <w:rFonts w:ascii="Times New Roman" w:eastAsia="Times New Roman" w:hAnsi="Times New Roman" w:cs="Times New Roman"/>
          <w:sz w:val="24"/>
          <w:szCs w:val="24"/>
          <w:lang w:val="sr-Latn-CS"/>
        </w:rPr>
        <w:t>olitike prodaje</w:t>
      </w:r>
      <w:r w:rsidR="00057D6F">
        <w:rPr>
          <w:rFonts w:ascii="Times New Roman" w:eastAsia="Times New Roman" w:hAnsi="Times New Roman" w:cs="Times New Roman"/>
          <w:sz w:val="24"/>
          <w:szCs w:val="24"/>
          <w:lang w:val="sr-Latn-CS"/>
        </w:rPr>
        <w:t>, p</w:t>
      </w:r>
      <w:r w:rsidRPr="0075530E">
        <w:rPr>
          <w:rFonts w:ascii="Times New Roman" w:eastAsia="Times New Roman" w:hAnsi="Times New Roman" w:cs="Times New Roman"/>
          <w:sz w:val="24"/>
          <w:szCs w:val="24"/>
          <w:lang w:val="sr-Latn-CS"/>
        </w:rPr>
        <w:t>olitike kreditiranja kupaca</w:t>
      </w:r>
      <w:r w:rsidR="00057D6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p</w:t>
      </w:r>
      <w:r w:rsidRPr="0075530E">
        <w:rPr>
          <w:rFonts w:ascii="Times New Roman" w:eastAsia="Times New Roman" w:hAnsi="Times New Roman" w:cs="Times New Roman"/>
          <w:sz w:val="24"/>
          <w:szCs w:val="24"/>
          <w:lang w:val="sr-Latn-CS"/>
        </w:rPr>
        <w:t>olitike naplate potraživanja</w:t>
      </w:r>
      <w:r w:rsidR="00057D6F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="00CD51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EB1E68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Kreditna politika</w:t>
      </w:r>
      <w:r w:rsidRPr="007553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je skup standarda koji određuju uslove odobravanja određenog iznosa i vrsta kredita kupcima.</w:t>
      </w:r>
      <w:r w:rsidR="00DF678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Ona ima dve dimenzije, i to: kreditne standarde i kreditnu analizu.</w:t>
      </w:r>
      <w:r w:rsidR="00CB3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B352D" w:rsidRPr="00B43B57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Kreditni standardi</w:t>
      </w:r>
      <w:r w:rsidR="00CB3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predstavljaju kriterijume kreditiranja koji se primenjuju za kreditiranje pojedinih kupaca. Finansijski menadžer bi trebao da održav</w:t>
      </w:r>
      <w:r w:rsidR="00CD510E">
        <w:rPr>
          <w:rFonts w:ascii="Times New Roman" w:eastAsia="Times New Roman" w:hAnsi="Times New Roman" w:cs="Times New Roman"/>
          <w:sz w:val="24"/>
          <w:szCs w:val="24"/>
          <w:lang w:val="sr-Latn-CS"/>
        </w:rPr>
        <w:t>a blage kreditne standarde sve d</w:t>
      </w:r>
      <w:r w:rsidR="00CB352D">
        <w:rPr>
          <w:rFonts w:ascii="Times New Roman" w:eastAsia="Times New Roman" w:hAnsi="Times New Roman" w:cs="Times New Roman"/>
          <w:sz w:val="24"/>
          <w:szCs w:val="24"/>
          <w:lang w:val="sr-Latn-CS"/>
        </w:rPr>
        <w:t>ok profitabilnost prodaje</w:t>
      </w:r>
      <w:r w:rsidR="00CD510E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="00CB3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koja je zahvaljujući takvim standardima povećana, prevazilazi dodatne troškove nastale usled poveanih potraživanja. </w:t>
      </w:r>
    </w:p>
    <w:p w:rsidR="00CB352D" w:rsidRPr="0075530E" w:rsidRDefault="00CB352D" w:rsidP="00CB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43B57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Kreditni uslovi</w:t>
      </w:r>
      <w:r w:rsidRPr="007553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obuhvataju tri bitna elementa kreditiranja i plaćanja:</w:t>
      </w:r>
    </w:p>
    <w:p w:rsidR="00CB352D" w:rsidRPr="000D43D2" w:rsidRDefault="00CB352D" w:rsidP="00CB352D">
      <w:pPr>
        <w:pStyle w:val="Pasussalistom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0D43D2">
        <w:rPr>
          <w:rFonts w:ascii="Times New Roman" w:eastAsia="Times New Roman" w:hAnsi="Times New Roman" w:cs="Times New Roman"/>
          <w:sz w:val="24"/>
          <w:szCs w:val="24"/>
          <w:lang w:val="sr-Latn-CS"/>
        </w:rPr>
        <w:t>Kasa-skonto – popust i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li umanjenje nabavne cene za </w:t>
      </w:r>
      <w:r w:rsidRPr="000D43D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određeni procenat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</w:p>
    <w:p w:rsidR="00CB352D" w:rsidRPr="000D43D2" w:rsidRDefault="00CB352D" w:rsidP="00CB352D">
      <w:pPr>
        <w:pStyle w:val="Pasussalistom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0D43D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Diskontni period – u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kom može da ostvari kasa-skonto,</w:t>
      </w:r>
    </w:p>
    <w:p w:rsidR="00CB352D" w:rsidRPr="000D43D2" w:rsidRDefault="00CB352D" w:rsidP="00CB352D">
      <w:pPr>
        <w:pStyle w:val="Pasussalistom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0D43D2">
        <w:rPr>
          <w:rFonts w:ascii="Times New Roman" w:eastAsia="Times New Roman" w:hAnsi="Times New Roman" w:cs="Times New Roman"/>
          <w:sz w:val="24"/>
          <w:szCs w:val="24"/>
          <w:lang w:val="sr-Latn-CS"/>
        </w:rPr>
        <w:t>Kreditni period - u kom treba da izvrši plaćanje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ukupne cene ukoliko se ne iskoristi kasa skonto.</w:t>
      </w:r>
    </w:p>
    <w:p w:rsidR="00CB352D" w:rsidRDefault="00CB352D" w:rsidP="00CB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75530E">
        <w:rPr>
          <w:rFonts w:ascii="Times New Roman" w:eastAsia="Times New Roman" w:hAnsi="Times New Roman" w:cs="Times New Roman"/>
          <w:sz w:val="24"/>
          <w:szCs w:val="24"/>
          <w:lang w:val="sr-Latn-CS"/>
        </w:rPr>
        <w:t>Obično se uslovi prodaje izražavaju u skraćenicama, pa tako kreditni usl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ovi izraženi kao </w:t>
      </w:r>
      <w:r w:rsidR="00CD510E">
        <w:rPr>
          <w:rFonts w:ascii="Times New Roman" w:eastAsia="Times New Roman" w:hAnsi="Times New Roman" w:cs="Times New Roman"/>
          <w:sz w:val="24"/>
          <w:szCs w:val="24"/>
          <w:lang w:val="sr-Latn-CS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2/10 neto 30</w:t>
      </w:r>
      <w:r w:rsidR="00CD510E">
        <w:rPr>
          <w:rFonts w:ascii="Times New Roman" w:eastAsia="Times New Roman" w:hAnsi="Times New Roman" w:cs="Times New Roman"/>
          <w:sz w:val="24"/>
          <w:szCs w:val="24"/>
          <w:lang w:val="sr-Latn-CS"/>
        </w:rPr>
        <w:t>“</w:t>
      </w:r>
      <w:r w:rsidRPr="007553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znače da kupac stiče pravo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na 2% kasa-skonta ili popust </w:t>
      </w:r>
      <w:r w:rsidRPr="0075530E">
        <w:rPr>
          <w:rFonts w:ascii="Times New Roman" w:eastAsia="Times New Roman" w:hAnsi="Times New Roman" w:cs="Times New Roman"/>
          <w:sz w:val="24"/>
          <w:szCs w:val="24"/>
          <w:lang w:val="sr-Latn-CS"/>
        </w:rPr>
        <w:t>vrednosti nabavke, ako isplati dug u toku diskontnog perioda od 10 dana. Ako kupac ne iskoristi pogodnost koja mu se nudi kasa-skontom, mora da plati nominalni iznos duga do kraja kreditnog perioda od 30 dana.</w:t>
      </w:r>
    </w:p>
    <w:p w:rsidR="00B43B57" w:rsidRDefault="00B43B57" w:rsidP="00B43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0D43D2">
        <w:rPr>
          <w:rFonts w:ascii="Times New Roman" w:eastAsia="Times New Roman" w:hAnsi="Times New Roman" w:cs="Times New Roman"/>
          <w:sz w:val="24"/>
          <w:szCs w:val="24"/>
          <w:lang w:val="sr-Latn-CS"/>
        </w:rPr>
        <w:t>Uvođenje kasa-skonta treba da stimuliše prodaju, čime se povećava njen obim, a time se očekuje postizanje skraćenja prosečnog perio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da naplate potraživanja i gubitaka</w:t>
      </w:r>
      <w:r w:rsidRPr="000D43D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usled nenaplativih potraživanja.</w:t>
      </w:r>
    </w:p>
    <w:p w:rsidR="00C64777" w:rsidRDefault="00C64777" w:rsidP="00B43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Efektivna godišnja stopa propuštenog diskonta = </w:t>
      </w:r>
      <w:r w:rsidRPr="00C64777">
        <w:rPr>
          <w:rFonts w:ascii="Times New Roman" w:eastAsia="Times New Roman" w:hAnsi="Times New Roman" w:cs="Times New Roman"/>
          <w:position w:val="-30"/>
          <w:sz w:val="24"/>
          <w:szCs w:val="24"/>
          <w:lang w:val="sr-Latn-CS"/>
        </w:rPr>
        <w:object w:dxaOrig="3440" w:dyaOrig="760">
          <v:shape id="_x0000_i1026" type="#_x0000_t75" style="width:171.75pt;height:38.25pt" o:ole="">
            <v:imagedata r:id="rId7" o:title=""/>
          </v:shape>
          <o:OLEObject Type="Embed" ProgID="Equation.DSMT4" ShapeID="_x0000_i1026" DrawAspect="Content" ObjectID="_1646046846" r:id="rId8"/>
        </w:objec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C64777" w:rsidRPr="0075530E" w:rsidRDefault="00C64777" w:rsidP="00C6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B352D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Kreditna analiza</w:t>
      </w:r>
      <w:r w:rsidRPr="007553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je procedura određivanja verovatnoće plaćanja duga od strane kupca.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7553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Za ovu analizu su bitni podaci iz evidencija, prošlo iskustvo sa kupcem na osnovu kojih se donose ocene o platežnoj sposobnosti kupca. Kada se radi o novom kupcu, preduzeće vrši procenu njegovog boniteta kod neke druge agencije ili biroa koji se bavi profesionalno rangiranjem i ocenom kreditnog boniteta preduzeća ili još jednostavnije, kod banke kod koje kupac ima račun. Kreditna analiza daje ocenu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o kreditnim sposobnostima kupca</w:t>
      </w:r>
      <w:r w:rsidRPr="007553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na osnovu koje se utvrđuje maksimalni iznos kredita koji kupac može da podnese. </w:t>
      </w:r>
    </w:p>
    <w:p w:rsidR="00C64777" w:rsidRDefault="00C64777" w:rsidP="00C64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B352D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Politika naplate</w:t>
      </w:r>
      <w:r w:rsidRPr="007553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40C1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potraživanja </w:t>
      </w:r>
      <w:r w:rsidRPr="0075530E">
        <w:rPr>
          <w:rFonts w:ascii="Times New Roman" w:eastAsia="Times New Roman" w:hAnsi="Times New Roman" w:cs="Times New Roman"/>
          <w:sz w:val="24"/>
          <w:szCs w:val="24"/>
          <w:lang w:val="sr-Latn-CS"/>
        </w:rPr>
        <w:t>je procedura koja se sastoji od praćenja potraživanja od kupaca i niza drugih mer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a u cilju naplate potraživanja. </w:t>
      </w:r>
      <w:r w:rsidRPr="007553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Preduzeće vodi evidenciju i klasifikaciju o svim </w:t>
      </w:r>
      <w:r w:rsidRPr="0075530E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dugovanjima kupaca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Pr="007553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to po datumima dospelosti računa za naplatu. Taktika naplate potraživanja od kupaca koji kasne sa izmirenje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m svojih obaveza obično počinje </w:t>
      </w:r>
      <w:r w:rsidRPr="0075530E">
        <w:rPr>
          <w:rFonts w:ascii="Times New Roman" w:eastAsia="Times New Roman" w:hAnsi="Times New Roman" w:cs="Times New Roman"/>
          <w:sz w:val="24"/>
          <w:szCs w:val="24"/>
          <w:lang w:val="sr-Latn-CS"/>
        </w:rPr>
        <w:t>pismenom opomenom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75530E">
        <w:rPr>
          <w:rFonts w:ascii="Times New Roman" w:eastAsia="Times New Roman" w:hAnsi="Times New Roman" w:cs="Times New Roman"/>
          <w:sz w:val="24"/>
          <w:szCs w:val="24"/>
          <w:lang w:val="sr-Latn-CS"/>
        </w:rPr>
        <w:t>telefonskom urgencijom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75530E">
        <w:rPr>
          <w:rFonts w:ascii="Times New Roman" w:eastAsia="Times New Roman" w:hAnsi="Times New Roman" w:cs="Times New Roman"/>
          <w:sz w:val="24"/>
          <w:szCs w:val="24"/>
          <w:lang w:val="sr-Latn-CS"/>
        </w:rPr>
        <w:t>ličnom posetom kupcu i na kraju pravnim sredstvima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B43B57" w:rsidRDefault="00B43B57" w:rsidP="00CB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B43B57" w:rsidRDefault="00B43B57" w:rsidP="00CB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74CF0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Zadatak 1: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B6EB3">
        <w:rPr>
          <w:rFonts w:ascii="Times New Roman" w:eastAsia="Times New Roman" w:hAnsi="Times New Roman" w:cs="Times New Roman"/>
          <w:sz w:val="24"/>
          <w:szCs w:val="24"/>
          <w:lang w:val="sr-Latn-CS"/>
        </w:rPr>
        <w:t>Pretpostavimo da preduzeće Y do sada nije odobravalo kasa skonto</w:t>
      </w:r>
      <w:r w:rsidR="00274CF0">
        <w:rPr>
          <w:rFonts w:ascii="Times New Roman" w:eastAsia="Times New Roman" w:hAnsi="Times New Roman" w:cs="Times New Roman"/>
          <w:sz w:val="24"/>
          <w:szCs w:val="24"/>
          <w:lang w:val="sr-Latn-CS"/>
        </w:rPr>
        <w:t>. Prihod od prodaje je iznosio 1</w:t>
      </w:r>
      <w:r w:rsidR="00FB6EB3">
        <w:rPr>
          <w:rFonts w:ascii="Times New Roman" w:eastAsia="Times New Roman" w:hAnsi="Times New Roman" w:cs="Times New Roman"/>
          <w:sz w:val="24"/>
          <w:szCs w:val="24"/>
          <w:lang w:val="sr-Latn-CS"/>
        </w:rPr>
        <w:t>00.000 dinara, tr</w:t>
      </w:r>
      <w:r w:rsidR="00274CF0">
        <w:rPr>
          <w:rFonts w:ascii="Times New Roman" w:eastAsia="Times New Roman" w:hAnsi="Times New Roman" w:cs="Times New Roman"/>
          <w:sz w:val="24"/>
          <w:szCs w:val="24"/>
          <w:lang w:val="sr-Latn-CS"/>
        </w:rPr>
        <w:t>oškovi realizovanih proizvoda 60</w:t>
      </w:r>
      <w:r w:rsidR="00FB6EB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0.000 dinara, koeficijent obrta kupaca </w:t>
      </w:r>
      <w:r w:rsidR="00340C1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je bio </w:t>
      </w:r>
      <w:r w:rsidR="00FB6EB3">
        <w:rPr>
          <w:rFonts w:ascii="Times New Roman" w:eastAsia="Times New Roman" w:hAnsi="Times New Roman" w:cs="Times New Roman"/>
          <w:sz w:val="24"/>
          <w:szCs w:val="24"/>
          <w:lang w:val="sr-Latn-CS"/>
        </w:rPr>
        <w:t>1</w:t>
      </w:r>
      <w:r w:rsidR="00340C1D">
        <w:rPr>
          <w:rFonts w:ascii="Times New Roman" w:eastAsia="Times New Roman" w:hAnsi="Times New Roman" w:cs="Times New Roman"/>
          <w:sz w:val="24"/>
          <w:szCs w:val="24"/>
          <w:lang w:val="sr-Latn-CS"/>
        </w:rPr>
        <w:t>0, a</w:t>
      </w:r>
      <w:r w:rsidR="00274CF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nenaplativa potraživanja 2%. P</w:t>
      </w:r>
      <w:r w:rsidR="00FB6EB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retpostavimo da preduzeće uvodi kasa </w:t>
      </w:r>
      <w:r w:rsidR="00274CF0">
        <w:rPr>
          <w:rFonts w:ascii="Times New Roman" w:eastAsia="Times New Roman" w:hAnsi="Times New Roman" w:cs="Times New Roman"/>
          <w:sz w:val="24"/>
          <w:szCs w:val="24"/>
          <w:lang w:val="sr-Latn-CS"/>
        </w:rPr>
        <w:t>skonta od 2% koji će koristiti 5</w:t>
      </w:r>
      <w:r w:rsidR="00FB6EB3">
        <w:rPr>
          <w:rFonts w:ascii="Times New Roman" w:eastAsia="Times New Roman" w:hAnsi="Times New Roman" w:cs="Times New Roman"/>
          <w:sz w:val="24"/>
          <w:szCs w:val="24"/>
          <w:lang w:val="sr-Latn-CS"/>
        </w:rPr>
        <w:t>0% kupaca</w:t>
      </w:r>
      <w:r w:rsidR="00340C1D">
        <w:rPr>
          <w:rFonts w:ascii="Times New Roman" w:eastAsia="Times New Roman" w:hAnsi="Times New Roman" w:cs="Times New Roman"/>
          <w:sz w:val="24"/>
          <w:szCs w:val="24"/>
          <w:lang w:val="sr-Latn-CS"/>
        </w:rPr>
        <w:t>. Kao rezultat,</w:t>
      </w:r>
      <w:r w:rsidR="00FB6EB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prihodi će se povećati za 20.000 dinara,</w:t>
      </w:r>
      <w:r w:rsidR="00274CF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koeficijent obrta kupaca će iznositi 14, troškovi realizovanih proizvoda će se povećati za 11.000 dinara,</w:t>
      </w:r>
      <w:r w:rsidR="00FB6EB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a nenaplativa potraživanja </w:t>
      </w:r>
      <w:r w:rsidR="00340C1D">
        <w:rPr>
          <w:rFonts w:ascii="Times New Roman" w:eastAsia="Times New Roman" w:hAnsi="Times New Roman" w:cs="Times New Roman"/>
          <w:sz w:val="24"/>
          <w:szCs w:val="24"/>
          <w:lang w:val="sr-Latn-CS"/>
        </w:rPr>
        <w:t>će biti 0,4%. T</w:t>
      </w:r>
      <w:r w:rsidR="00FB6EB3">
        <w:rPr>
          <w:rFonts w:ascii="Times New Roman" w:eastAsia="Times New Roman" w:hAnsi="Times New Roman" w:cs="Times New Roman"/>
          <w:sz w:val="24"/>
          <w:szCs w:val="24"/>
          <w:lang w:val="sr-Latn-CS"/>
        </w:rPr>
        <w:t>roškovi držanja potraživanja od kupaca iznosiće 11% godišnje. Izračunajte efekte uvođenja kasa skonta na ukupan finansijski rezultat preduzeća.</w:t>
      </w:r>
    </w:p>
    <w:p w:rsidR="00FB6EB3" w:rsidRDefault="00FB6EB3" w:rsidP="00CB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FB6EB3" w:rsidRDefault="001570CC" w:rsidP="00CB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Rešenje:</w:t>
      </w:r>
    </w:p>
    <w:p w:rsidR="001570CC" w:rsidRDefault="001570CC" w:rsidP="00CB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225"/>
        <w:gridCol w:w="2520"/>
        <w:gridCol w:w="2605"/>
      </w:tblGrid>
      <w:tr w:rsidR="003C1DF7" w:rsidRPr="003C1DF7" w:rsidTr="003C1DF7">
        <w:tc>
          <w:tcPr>
            <w:tcW w:w="4225" w:type="dxa"/>
          </w:tcPr>
          <w:p w:rsidR="003C1DF7" w:rsidRPr="003C1DF7" w:rsidRDefault="003C1DF7" w:rsidP="003C1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1DF7">
              <w:rPr>
                <w:rFonts w:ascii="Times New Roman" w:hAnsi="Times New Roman" w:cs="Times New Roman"/>
                <w:sz w:val="24"/>
              </w:rPr>
              <w:t>Opis</w:t>
            </w:r>
          </w:p>
        </w:tc>
        <w:tc>
          <w:tcPr>
            <w:tcW w:w="2520" w:type="dxa"/>
          </w:tcPr>
          <w:p w:rsidR="003C1DF7" w:rsidRPr="003C1DF7" w:rsidRDefault="003C1DF7" w:rsidP="003C1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1DF7">
              <w:rPr>
                <w:rFonts w:ascii="Times New Roman" w:hAnsi="Times New Roman" w:cs="Times New Roman"/>
                <w:sz w:val="24"/>
              </w:rPr>
              <w:t>Za obim prodaje bez kasa skonta</w:t>
            </w:r>
          </w:p>
        </w:tc>
        <w:tc>
          <w:tcPr>
            <w:tcW w:w="2605" w:type="dxa"/>
          </w:tcPr>
          <w:p w:rsidR="003C1DF7" w:rsidRPr="003C1DF7" w:rsidRDefault="003C1DF7" w:rsidP="003C1D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1DF7">
              <w:rPr>
                <w:rFonts w:ascii="Times New Roman" w:hAnsi="Times New Roman" w:cs="Times New Roman"/>
                <w:sz w:val="24"/>
              </w:rPr>
              <w:t>Za obim prodaje sa kasa skontom</w:t>
            </w:r>
          </w:p>
        </w:tc>
      </w:tr>
      <w:tr w:rsidR="003C1DF7" w:rsidRPr="003C1DF7" w:rsidTr="003C1DF7">
        <w:tc>
          <w:tcPr>
            <w:tcW w:w="4225" w:type="dxa"/>
          </w:tcPr>
          <w:p w:rsidR="003C1DF7" w:rsidRPr="003C1DF7" w:rsidRDefault="003C1DF7" w:rsidP="003C1DF7">
            <w:pPr>
              <w:rPr>
                <w:rFonts w:ascii="Times New Roman" w:hAnsi="Times New Roman" w:cs="Times New Roman"/>
                <w:sz w:val="24"/>
              </w:rPr>
            </w:pPr>
            <w:r w:rsidRPr="003C1DF7">
              <w:rPr>
                <w:rFonts w:ascii="Times New Roman" w:hAnsi="Times New Roman" w:cs="Times New Roman"/>
                <w:sz w:val="24"/>
              </w:rPr>
              <w:t>Prihod od realizacije</w:t>
            </w:r>
          </w:p>
        </w:tc>
        <w:tc>
          <w:tcPr>
            <w:tcW w:w="2520" w:type="dxa"/>
          </w:tcPr>
          <w:p w:rsidR="003C1DF7" w:rsidRPr="003C1DF7" w:rsidRDefault="003C1DF7" w:rsidP="003C1DF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3C1DF7">
              <w:rPr>
                <w:rFonts w:ascii="Times New Roman" w:hAnsi="Times New Roman" w:cs="Times New Roman"/>
                <w:sz w:val="24"/>
              </w:rPr>
              <w:t>100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C1DF7">
              <w:rPr>
                <w:rFonts w:ascii="Times New Roman" w:hAnsi="Times New Roman" w:cs="Times New Roman"/>
                <w:sz w:val="24"/>
              </w:rPr>
              <w:t>000</w:t>
            </w:r>
          </w:p>
        </w:tc>
        <w:tc>
          <w:tcPr>
            <w:tcW w:w="2605" w:type="dxa"/>
          </w:tcPr>
          <w:p w:rsidR="003C1DF7" w:rsidRPr="003C1DF7" w:rsidRDefault="003C1DF7" w:rsidP="003C1DF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3C1DF7">
              <w:rPr>
                <w:rFonts w:ascii="Times New Roman" w:hAnsi="Times New Roman" w:cs="Times New Roman"/>
                <w:sz w:val="24"/>
              </w:rPr>
              <w:t>120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C1DF7">
              <w:rPr>
                <w:rFonts w:ascii="Times New Roman" w:hAnsi="Times New Roman" w:cs="Times New Roman"/>
                <w:sz w:val="24"/>
              </w:rPr>
              <w:t>000</w:t>
            </w:r>
          </w:p>
        </w:tc>
      </w:tr>
      <w:tr w:rsidR="003C1DF7" w:rsidRPr="003C1DF7" w:rsidTr="003C1DF7">
        <w:tc>
          <w:tcPr>
            <w:tcW w:w="4225" w:type="dxa"/>
          </w:tcPr>
          <w:p w:rsidR="003C1DF7" w:rsidRPr="003C1DF7" w:rsidRDefault="003C1DF7" w:rsidP="003C1DF7">
            <w:pPr>
              <w:rPr>
                <w:rFonts w:ascii="Times New Roman" w:hAnsi="Times New Roman" w:cs="Times New Roman"/>
                <w:sz w:val="24"/>
              </w:rPr>
            </w:pPr>
            <w:r w:rsidRPr="003C1DF7">
              <w:rPr>
                <w:rFonts w:ascii="Times New Roman" w:hAnsi="Times New Roman" w:cs="Times New Roman"/>
                <w:sz w:val="24"/>
              </w:rPr>
              <w:t>-Iskorišćeni kasa skonto</w:t>
            </w:r>
          </w:p>
        </w:tc>
        <w:tc>
          <w:tcPr>
            <w:tcW w:w="2520" w:type="dxa"/>
          </w:tcPr>
          <w:p w:rsidR="003C1DF7" w:rsidRPr="003C1DF7" w:rsidRDefault="003C1DF7" w:rsidP="003C1DF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3C1DF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5" w:type="dxa"/>
          </w:tcPr>
          <w:p w:rsidR="003C1DF7" w:rsidRPr="003C1DF7" w:rsidRDefault="003C1DF7" w:rsidP="003C1DF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3C1DF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C1DF7"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  <w:tr w:rsidR="003C1DF7" w:rsidRPr="003C1DF7" w:rsidTr="003C1DF7">
        <w:tc>
          <w:tcPr>
            <w:tcW w:w="4225" w:type="dxa"/>
          </w:tcPr>
          <w:p w:rsidR="003C1DF7" w:rsidRPr="003C1DF7" w:rsidRDefault="003C1DF7" w:rsidP="003C1DF7">
            <w:pPr>
              <w:rPr>
                <w:rFonts w:ascii="Times New Roman" w:hAnsi="Times New Roman" w:cs="Times New Roman"/>
                <w:sz w:val="24"/>
              </w:rPr>
            </w:pPr>
            <w:r w:rsidRPr="003C1DF7">
              <w:rPr>
                <w:rFonts w:ascii="Times New Roman" w:hAnsi="Times New Roman" w:cs="Times New Roman"/>
                <w:sz w:val="24"/>
              </w:rPr>
              <w:t>-Nenaplativa potraživanja</w:t>
            </w:r>
          </w:p>
        </w:tc>
        <w:tc>
          <w:tcPr>
            <w:tcW w:w="2520" w:type="dxa"/>
          </w:tcPr>
          <w:p w:rsidR="003C1DF7" w:rsidRPr="003C1DF7" w:rsidRDefault="003C1DF7" w:rsidP="003C1DF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3C1DF7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C1DF7">
              <w:rPr>
                <w:rFonts w:ascii="Times New Roman" w:hAnsi="Times New Roman" w:cs="Times New Roman"/>
                <w:sz w:val="24"/>
              </w:rPr>
              <w:t>000</w:t>
            </w:r>
          </w:p>
        </w:tc>
        <w:tc>
          <w:tcPr>
            <w:tcW w:w="2605" w:type="dxa"/>
          </w:tcPr>
          <w:p w:rsidR="003C1DF7" w:rsidRPr="003C1DF7" w:rsidRDefault="003C1DF7" w:rsidP="003C1DF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3C1DF7">
              <w:rPr>
                <w:rFonts w:ascii="Times New Roman" w:hAnsi="Times New Roman" w:cs="Times New Roman"/>
                <w:sz w:val="24"/>
              </w:rPr>
              <w:t>480</w:t>
            </w:r>
          </w:p>
        </w:tc>
      </w:tr>
      <w:tr w:rsidR="003C1DF7" w:rsidRPr="003C1DF7" w:rsidTr="003C1DF7">
        <w:tc>
          <w:tcPr>
            <w:tcW w:w="4225" w:type="dxa"/>
          </w:tcPr>
          <w:p w:rsidR="003C1DF7" w:rsidRPr="003C1DF7" w:rsidRDefault="003C1DF7" w:rsidP="003C1D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1DF7">
              <w:rPr>
                <w:rFonts w:ascii="Times New Roman" w:hAnsi="Times New Roman" w:cs="Times New Roman"/>
                <w:b/>
                <w:sz w:val="24"/>
              </w:rPr>
              <w:t>Neto prihod od realizacije</w:t>
            </w:r>
          </w:p>
        </w:tc>
        <w:tc>
          <w:tcPr>
            <w:tcW w:w="2520" w:type="dxa"/>
          </w:tcPr>
          <w:p w:rsidR="003C1DF7" w:rsidRPr="003C1DF7" w:rsidRDefault="003C1DF7" w:rsidP="003C1DF7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C1DF7">
              <w:rPr>
                <w:rFonts w:ascii="Times New Roman" w:hAnsi="Times New Roman" w:cs="Times New Roman"/>
                <w:b/>
                <w:sz w:val="24"/>
              </w:rPr>
              <w:t>98.000</w:t>
            </w:r>
          </w:p>
        </w:tc>
        <w:tc>
          <w:tcPr>
            <w:tcW w:w="2605" w:type="dxa"/>
          </w:tcPr>
          <w:p w:rsidR="003C1DF7" w:rsidRPr="003C1DF7" w:rsidRDefault="003C1DF7" w:rsidP="003C1DF7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C1DF7">
              <w:rPr>
                <w:rFonts w:ascii="Times New Roman" w:hAnsi="Times New Roman" w:cs="Times New Roman"/>
                <w:b/>
                <w:sz w:val="24"/>
              </w:rPr>
              <w:t>118.320</w:t>
            </w:r>
          </w:p>
        </w:tc>
      </w:tr>
      <w:tr w:rsidR="003C1DF7" w:rsidRPr="003C1DF7" w:rsidTr="003C1DF7">
        <w:tc>
          <w:tcPr>
            <w:tcW w:w="4225" w:type="dxa"/>
          </w:tcPr>
          <w:p w:rsidR="003C1DF7" w:rsidRPr="003C1DF7" w:rsidRDefault="003C1DF7" w:rsidP="003C1DF7">
            <w:pPr>
              <w:rPr>
                <w:rFonts w:ascii="Times New Roman" w:hAnsi="Times New Roman" w:cs="Times New Roman"/>
                <w:sz w:val="24"/>
              </w:rPr>
            </w:pPr>
            <w:r w:rsidRPr="003C1DF7">
              <w:rPr>
                <w:rFonts w:ascii="Times New Roman" w:hAnsi="Times New Roman" w:cs="Times New Roman"/>
                <w:sz w:val="24"/>
              </w:rPr>
              <w:t>-Troškovi realizovanih proizvoda</w:t>
            </w:r>
          </w:p>
        </w:tc>
        <w:tc>
          <w:tcPr>
            <w:tcW w:w="2520" w:type="dxa"/>
          </w:tcPr>
          <w:p w:rsidR="003C1DF7" w:rsidRPr="003C1DF7" w:rsidRDefault="003C1DF7" w:rsidP="003C1DF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3C1DF7">
              <w:rPr>
                <w:rFonts w:ascii="Times New Roman" w:hAnsi="Times New Roman" w:cs="Times New Roman"/>
                <w:sz w:val="24"/>
              </w:rPr>
              <w:t>60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C1DF7">
              <w:rPr>
                <w:rFonts w:ascii="Times New Roman" w:hAnsi="Times New Roman" w:cs="Times New Roman"/>
                <w:sz w:val="24"/>
              </w:rPr>
              <w:t>000</w:t>
            </w:r>
          </w:p>
        </w:tc>
        <w:tc>
          <w:tcPr>
            <w:tcW w:w="2605" w:type="dxa"/>
          </w:tcPr>
          <w:p w:rsidR="00274CF0" w:rsidRDefault="00274CF0" w:rsidP="003C1DF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60.000+11.000=</w:t>
            </w:r>
          </w:p>
          <w:p w:rsidR="003C1DF7" w:rsidRPr="003C1DF7" w:rsidRDefault="003C1DF7" w:rsidP="003C1DF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3C1DF7">
              <w:rPr>
                <w:rFonts w:ascii="Times New Roman" w:hAnsi="Times New Roman" w:cs="Times New Roman"/>
                <w:sz w:val="24"/>
              </w:rPr>
              <w:t>71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C1DF7">
              <w:rPr>
                <w:rFonts w:ascii="Times New Roman" w:hAnsi="Times New Roman" w:cs="Times New Roman"/>
                <w:sz w:val="24"/>
              </w:rPr>
              <w:t>000</w:t>
            </w:r>
          </w:p>
        </w:tc>
      </w:tr>
      <w:tr w:rsidR="003C1DF7" w:rsidRPr="003C1DF7" w:rsidTr="003C1DF7">
        <w:tc>
          <w:tcPr>
            <w:tcW w:w="4225" w:type="dxa"/>
          </w:tcPr>
          <w:p w:rsidR="003C1DF7" w:rsidRPr="003C1DF7" w:rsidRDefault="003C1DF7" w:rsidP="003C1D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1DF7">
              <w:rPr>
                <w:rFonts w:ascii="Times New Roman" w:hAnsi="Times New Roman" w:cs="Times New Roman"/>
                <w:b/>
                <w:sz w:val="24"/>
              </w:rPr>
              <w:t>Dobitak na prodaji</w:t>
            </w:r>
          </w:p>
        </w:tc>
        <w:tc>
          <w:tcPr>
            <w:tcW w:w="2520" w:type="dxa"/>
          </w:tcPr>
          <w:p w:rsidR="003C1DF7" w:rsidRPr="003C1DF7" w:rsidRDefault="003C1DF7" w:rsidP="003C1DF7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C1DF7">
              <w:rPr>
                <w:rFonts w:ascii="Times New Roman" w:hAnsi="Times New Roman" w:cs="Times New Roman"/>
                <w:b/>
                <w:sz w:val="24"/>
              </w:rPr>
              <w:t>38.000</w:t>
            </w:r>
          </w:p>
        </w:tc>
        <w:tc>
          <w:tcPr>
            <w:tcW w:w="2605" w:type="dxa"/>
          </w:tcPr>
          <w:p w:rsidR="003C1DF7" w:rsidRPr="003C1DF7" w:rsidRDefault="003C1DF7" w:rsidP="003C1DF7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C1DF7">
              <w:rPr>
                <w:rFonts w:ascii="Times New Roman" w:hAnsi="Times New Roman" w:cs="Times New Roman"/>
                <w:b/>
                <w:sz w:val="24"/>
              </w:rPr>
              <w:t>47.320</w:t>
            </w:r>
          </w:p>
        </w:tc>
      </w:tr>
      <w:tr w:rsidR="003C1DF7" w:rsidRPr="003C1DF7" w:rsidTr="003C1DF7">
        <w:tc>
          <w:tcPr>
            <w:tcW w:w="4225" w:type="dxa"/>
          </w:tcPr>
          <w:p w:rsidR="003C1DF7" w:rsidRPr="003C1DF7" w:rsidRDefault="003C1DF7" w:rsidP="003C1D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1DF7">
              <w:rPr>
                <w:rFonts w:ascii="Times New Roman" w:hAnsi="Times New Roman" w:cs="Times New Roman"/>
                <w:b/>
                <w:sz w:val="24"/>
              </w:rPr>
              <w:t>Dodatni dobitak na prodaji</w:t>
            </w:r>
          </w:p>
        </w:tc>
        <w:tc>
          <w:tcPr>
            <w:tcW w:w="2520" w:type="dxa"/>
          </w:tcPr>
          <w:p w:rsidR="003C1DF7" w:rsidRPr="003C1DF7" w:rsidRDefault="003C1DF7" w:rsidP="003C1DF7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C1DF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05" w:type="dxa"/>
          </w:tcPr>
          <w:p w:rsidR="003C1DF7" w:rsidRPr="003C1DF7" w:rsidRDefault="003C1DF7" w:rsidP="003C1DF7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C1DF7">
              <w:rPr>
                <w:rFonts w:ascii="Times New Roman" w:hAnsi="Times New Roman" w:cs="Times New Roman"/>
                <w:b/>
                <w:sz w:val="24"/>
              </w:rPr>
              <w:t>9.320</w:t>
            </w:r>
          </w:p>
        </w:tc>
      </w:tr>
      <w:tr w:rsidR="003C1DF7" w:rsidRPr="003C1DF7" w:rsidTr="003C1DF7">
        <w:tc>
          <w:tcPr>
            <w:tcW w:w="4225" w:type="dxa"/>
          </w:tcPr>
          <w:p w:rsidR="003C1DF7" w:rsidRPr="003C1DF7" w:rsidRDefault="003C1DF7" w:rsidP="003C1DF7">
            <w:pPr>
              <w:rPr>
                <w:rFonts w:ascii="Times New Roman" w:hAnsi="Times New Roman" w:cs="Times New Roman"/>
                <w:sz w:val="24"/>
              </w:rPr>
            </w:pPr>
            <w:r w:rsidRPr="003C1DF7">
              <w:rPr>
                <w:rFonts w:ascii="Times New Roman" w:hAnsi="Times New Roman" w:cs="Times New Roman"/>
                <w:sz w:val="24"/>
              </w:rPr>
              <w:t>Prosečna ulaganja u potraživanja od kupaca</w:t>
            </w:r>
          </w:p>
        </w:tc>
        <w:tc>
          <w:tcPr>
            <w:tcW w:w="2520" w:type="dxa"/>
          </w:tcPr>
          <w:p w:rsidR="00BF42B0" w:rsidRDefault="00BF42B0" w:rsidP="003C1DF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60.000/10=</w:t>
            </w:r>
          </w:p>
          <w:p w:rsidR="003C1DF7" w:rsidRPr="003C1DF7" w:rsidRDefault="003C1DF7" w:rsidP="003C1DF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3C1DF7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C1DF7">
              <w:rPr>
                <w:rFonts w:ascii="Times New Roman" w:hAnsi="Times New Roman" w:cs="Times New Roman"/>
                <w:sz w:val="24"/>
              </w:rPr>
              <w:t>000</w:t>
            </w:r>
          </w:p>
        </w:tc>
        <w:tc>
          <w:tcPr>
            <w:tcW w:w="2605" w:type="dxa"/>
          </w:tcPr>
          <w:p w:rsidR="00BF42B0" w:rsidRDefault="00BF42B0" w:rsidP="003C1DF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71.000/14=</w:t>
            </w:r>
          </w:p>
          <w:p w:rsidR="003C1DF7" w:rsidRPr="003C1DF7" w:rsidRDefault="003C1DF7" w:rsidP="003C1DF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3C1DF7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.071,</w:t>
            </w:r>
            <w:r w:rsidR="00BF42B0">
              <w:rPr>
                <w:rFonts w:ascii="Times New Roman" w:hAnsi="Times New Roman" w:cs="Times New Roman"/>
                <w:sz w:val="24"/>
              </w:rPr>
              <w:t>43</w:t>
            </w:r>
          </w:p>
        </w:tc>
      </w:tr>
      <w:tr w:rsidR="003C1DF7" w:rsidRPr="003C1DF7" w:rsidTr="003C1DF7">
        <w:tc>
          <w:tcPr>
            <w:tcW w:w="4225" w:type="dxa"/>
          </w:tcPr>
          <w:p w:rsidR="003C1DF7" w:rsidRPr="003C1DF7" w:rsidRDefault="003C1DF7" w:rsidP="003C1DF7">
            <w:pPr>
              <w:rPr>
                <w:rFonts w:ascii="Times New Roman" w:hAnsi="Times New Roman" w:cs="Times New Roman"/>
                <w:sz w:val="24"/>
              </w:rPr>
            </w:pPr>
            <w:r w:rsidRPr="003C1DF7">
              <w:rPr>
                <w:rFonts w:ascii="Times New Roman" w:hAnsi="Times New Roman" w:cs="Times New Roman"/>
                <w:sz w:val="24"/>
              </w:rPr>
              <w:t>Smanjenje ulaganja u potraživanja od kupaca</w:t>
            </w:r>
          </w:p>
        </w:tc>
        <w:tc>
          <w:tcPr>
            <w:tcW w:w="2520" w:type="dxa"/>
          </w:tcPr>
          <w:p w:rsidR="003C1DF7" w:rsidRPr="003C1DF7" w:rsidRDefault="003C1DF7" w:rsidP="003C1DF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3C1DF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5" w:type="dxa"/>
          </w:tcPr>
          <w:p w:rsidR="003C1DF7" w:rsidRDefault="003C1DF7" w:rsidP="003C1DF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6.000-5.071,42=</w:t>
            </w:r>
          </w:p>
          <w:p w:rsidR="003C1DF7" w:rsidRPr="003C1DF7" w:rsidRDefault="003C1DF7" w:rsidP="003C1DF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928,57</w:t>
            </w:r>
          </w:p>
        </w:tc>
      </w:tr>
      <w:tr w:rsidR="003C1DF7" w:rsidRPr="003C1DF7" w:rsidTr="003C1DF7">
        <w:tc>
          <w:tcPr>
            <w:tcW w:w="4225" w:type="dxa"/>
          </w:tcPr>
          <w:p w:rsidR="003C1DF7" w:rsidRPr="003C1DF7" w:rsidRDefault="003C1DF7" w:rsidP="003C1DF7">
            <w:pPr>
              <w:rPr>
                <w:rFonts w:ascii="Times New Roman" w:hAnsi="Times New Roman" w:cs="Times New Roman"/>
                <w:sz w:val="24"/>
              </w:rPr>
            </w:pPr>
            <w:r w:rsidRPr="003C1DF7">
              <w:rPr>
                <w:rFonts w:ascii="Times New Roman" w:hAnsi="Times New Roman" w:cs="Times New Roman"/>
                <w:sz w:val="24"/>
              </w:rPr>
              <w:t>Smanjenje troškova ulaganja u potraživanja od kupaca</w:t>
            </w:r>
          </w:p>
        </w:tc>
        <w:tc>
          <w:tcPr>
            <w:tcW w:w="2520" w:type="dxa"/>
          </w:tcPr>
          <w:p w:rsidR="003C1DF7" w:rsidRPr="003C1DF7" w:rsidRDefault="003C1DF7" w:rsidP="003C1DF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3C1DF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5" w:type="dxa"/>
          </w:tcPr>
          <w:p w:rsidR="003C1DF7" w:rsidRDefault="003C1DF7" w:rsidP="003C1DF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928,57*11%=</w:t>
            </w:r>
          </w:p>
          <w:p w:rsidR="003C1DF7" w:rsidRPr="003C1DF7" w:rsidRDefault="003C1DF7" w:rsidP="003C1DF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102,14</w:t>
            </w:r>
          </w:p>
        </w:tc>
      </w:tr>
    </w:tbl>
    <w:p w:rsidR="003C1DF7" w:rsidRDefault="003C1DF7" w:rsidP="00CB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274CF0" w:rsidRDefault="00274CF0" w:rsidP="00CB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Iskorišćeni kasa skonto se dobija </w:t>
      </w:r>
      <w:r w:rsidR="00D71182">
        <w:rPr>
          <w:rFonts w:ascii="Times New Roman" w:eastAsia="Times New Roman" w:hAnsi="Times New Roman" w:cs="Times New Roman"/>
          <w:sz w:val="24"/>
          <w:szCs w:val="24"/>
          <w:lang w:val="sr-Latn-C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120.000*50%*2%=1.200. </w:t>
      </w:r>
    </w:p>
    <w:p w:rsidR="00274CF0" w:rsidRDefault="00274CF0" w:rsidP="00CB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Nenaplativa potraživanja bez kasa skonto 100.000*2%=2.000, a nenaplativa potraživanja sa kasa skonto: 120.000*0,4%=480</w:t>
      </w:r>
      <w:r w:rsidR="00D71182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274CF0" w:rsidRDefault="00274CF0" w:rsidP="00CB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Dodatni dobitak na prodaji zbog uvođenja kasa skonto: 47.320-38.000=9.320</w:t>
      </w:r>
      <w:r w:rsidR="00D71182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274CF0" w:rsidRDefault="00274CF0" w:rsidP="00CB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264722" w:rsidRDefault="00264722" w:rsidP="00CB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Dodatni dobitak na prodaji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     9.320,00</w:t>
      </w:r>
    </w:p>
    <w:p w:rsidR="00264722" w:rsidRPr="00264722" w:rsidRDefault="00264722" w:rsidP="002647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</w:pPr>
      <w:r w:rsidRPr="00264722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>+Smanjenje troškova ulaganja u potraživanja od kupaca     102,14</w:t>
      </w:r>
    </w:p>
    <w:p w:rsidR="00264722" w:rsidRDefault="00264722" w:rsidP="0026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       </w:t>
      </w:r>
      <w:r w:rsidR="00CD046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9.422,14</w:t>
      </w:r>
    </w:p>
    <w:p w:rsidR="00264722" w:rsidRDefault="00264722" w:rsidP="0026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Konačan </w:t>
      </w:r>
      <w:r w:rsidR="00F3654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pozitivan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efekat uvođenja kasa skonta na ukupan finansijski rezultat preduzeća iznosi 9.422,14 dinara.</w:t>
      </w:r>
    </w:p>
    <w:p w:rsidR="00CD26CA" w:rsidRDefault="00CD26CA" w:rsidP="0026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D26CA" w:rsidRDefault="00CD26CA" w:rsidP="0026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0B5544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Primer 2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Preduzeće na ukupni kreditni period u trajanju od 60 dana daje mogućnost popusta od 6% na </w:t>
      </w:r>
      <w:r w:rsidR="00CC0D0B">
        <w:rPr>
          <w:rFonts w:ascii="Times New Roman" w:eastAsia="Times New Roman" w:hAnsi="Times New Roman" w:cs="Times New Roman"/>
          <w:sz w:val="24"/>
          <w:szCs w:val="24"/>
          <w:lang w:val="sr-Latn-CS"/>
        </w:rPr>
        <w:t>ukupnu vrednost nabavke, u slučaju da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se ona plati u roku od 15 dana. Ukoliko kupac nije bio u stanju da iskoristi ponuđenu pogodnost i platio je robu tek za 60 dana to povlači i trošak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propuštenog diskonta. </w:t>
      </w:r>
      <w:r w:rsidR="00C64777">
        <w:rPr>
          <w:rFonts w:ascii="Times New Roman" w:eastAsia="Times New Roman" w:hAnsi="Times New Roman" w:cs="Times New Roman"/>
          <w:sz w:val="24"/>
          <w:szCs w:val="24"/>
          <w:lang w:val="sr-Latn-CS"/>
        </w:rPr>
        <w:t>Izračunajte t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rošak propuštenog diskonta izražen u efektivnoj godišnjoj st</w:t>
      </w:r>
      <w:r w:rsidR="00C64777">
        <w:rPr>
          <w:rFonts w:ascii="Times New Roman" w:eastAsia="Times New Roman" w:hAnsi="Times New Roman" w:cs="Times New Roman"/>
          <w:sz w:val="24"/>
          <w:szCs w:val="24"/>
          <w:lang w:val="sr-Latn-CS"/>
        </w:rPr>
        <w:t>opi propuštenog diskonta.</w:t>
      </w:r>
    </w:p>
    <w:p w:rsidR="00C64777" w:rsidRDefault="00C64777" w:rsidP="0026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64777" w:rsidRDefault="00C64777" w:rsidP="0026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Rešenje:</w:t>
      </w:r>
    </w:p>
    <w:p w:rsidR="00C64777" w:rsidRDefault="00C64777" w:rsidP="0026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Efektivna godišnja stopa propuštenog diskonta=</w:t>
      </w:r>
    </w:p>
    <w:p w:rsidR="00C64777" w:rsidRDefault="00C64777" w:rsidP="0026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64777">
        <w:rPr>
          <w:rFonts w:ascii="Times New Roman" w:eastAsia="Times New Roman" w:hAnsi="Times New Roman" w:cs="Times New Roman"/>
          <w:position w:val="-30"/>
          <w:sz w:val="24"/>
          <w:szCs w:val="24"/>
          <w:lang w:val="sr-Latn-CS"/>
        </w:rPr>
        <w:object w:dxaOrig="7280" w:dyaOrig="760">
          <v:shape id="_x0000_i1027" type="#_x0000_t75" style="width:363.75pt;height:38.25pt" o:ole="">
            <v:imagedata r:id="rId9" o:title=""/>
          </v:shape>
          <o:OLEObject Type="Embed" ProgID="Equation.DSMT4" ShapeID="_x0000_i1027" DrawAspect="Content" ObjectID="_1646046847" r:id="rId10"/>
        </w:objec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773E6F" w:rsidRDefault="00773E6F" w:rsidP="0026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Efektivna godišnja stopa propuštenog diskonta iznosi 65,13%. Stopa je tako visoka jer za preduzeće prodavca ova stopa predstavlja kompenzaciju troškova koji nastaju zbog sporih platiša, pa preduzeće kupac, koje propušta mogućnost diskonta učestvuje u nadoknadi tih troškova. </w:t>
      </w:r>
    </w:p>
    <w:p w:rsidR="00264722" w:rsidRDefault="00264722" w:rsidP="00CB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sectPr w:rsidR="00264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02B19"/>
    <w:multiLevelType w:val="hybridMultilevel"/>
    <w:tmpl w:val="1736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92894"/>
    <w:multiLevelType w:val="hybridMultilevel"/>
    <w:tmpl w:val="D06EB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B069B"/>
    <w:multiLevelType w:val="hybridMultilevel"/>
    <w:tmpl w:val="25EE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77B6D"/>
    <w:multiLevelType w:val="hybridMultilevel"/>
    <w:tmpl w:val="A1DAB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52A5C"/>
    <w:multiLevelType w:val="hybridMultilevel"/>
    <w:tmpl w:val="6178B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650"/>
    <w:multiLevelType w:val="hybridMultilevel"/>
    <w:tmpl w:val="CD8AA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D63F3"/>
    <w:multiLevelType w:val="hybridMultilevel"/>
    <w:tmpl w:val="F62C77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0D53AED"/>
    <w:multiLevelType w:val="hybridMultilevel"/>
    <w:tmpl w:val="A2FA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476AA"/>
    <w:multiLevelType w:val="hybridMultilevel"/>
    <w:tmpl w:val="DD4E9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728E3"/>
    <w:multiLevelType w:val="hybridMultilevel"/>
    <w:tmpl w:val="42E822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6405E"/>
    <w:multiLevelType w:val="hybridMultilevel"/>
    <w:tmpl w:val="1A30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A57BD"/>
    <w:multiLevelType w:val="hybridMultilevel"/>
    <w:tmpl w:val="49465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F5F0C"/>
    <w:multiLevelType w:val="hybridMultilevel"/>
    <w:tmpl w:val="4792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D5E07"/>
    <w:multiLevelType w:val="hybridMultilevel"/>
    <w:tmpl w:val="02C46FC0"/>
    <w:lvl w:ilvl="0" w:tplc="B94078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AAA2B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3C8A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70246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52CC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0E39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EA73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A0776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EE0F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69550B"/>
    <w:multiLevelType w:val="hybridMultilevel"/>
    <w:tmpl w:val="9EE2D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9576D"/>
    <w:multiLevelType w:val="hybridMultilevel"/>
    <w:tmpl w:val="9B9C5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7737D"/>
    <w:multiLevelType w:val="hybridMultilevel"/>
    <w:tmpl w:val="93D6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60953"/>
    <w:multiLevelType w:val="hybridMultilevel"/>
    <w:tmpl w:val="EED87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627702"/>
    <w:multiLevelType w:val="hybridMultilevel"/>
    <w:tmpl w:val="6EA067A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6E644D04"/>
    <w:multiLevelType w:val="hybridMultilevel"/>
    <w:tmpl w:val="6DA4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7F6086"/>
    <w:multiLevelType w:val="hybridMultilevel"/>
    <w:tmpl w:val="A13C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E167B8"/>
    <w:multiLevelType w:val="hybridMultilevel"/>
    <w:tmpl w:val="F346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93776A"/>
    <w:multiLevelType w:val="hybridMultilevel"/>
    <w:tmpl w:val="03EC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41CE1"/>
    <w:multiLevelType w:val="hybridMultilevel"/>
    <w:tmpl w:val="525C2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F34B1F"/>
    <w:multiLevelType w:val="hybridMultilevel"/>
    <w:tmpl w:val="750A7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73B9D"/>
    <w:multiLevelType w:val="hybridMultilevel"/>
    <w:tmpl w:val="D4A2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D865C9"/>
    <w:multiLevelType w:val="hybridMultilevel"/>
    <w:tmpl w:val="4B32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0"/>
  </w:num>
  <w:num w:numId="4">
    <w:abstractNumId w:val="17"/>
  </w:num>
  <w:num w:numId="5">
    <w:abstractNumId w:val="15"/>
  </w:num>
  <w:num w:numId="6">
    <w:abstractNumId w:val="5"/>
  </w:num>
  <w:num w:numId="7">
    <w:abstractNumId w:val="8"/>
  </w:num>
  <w:num w:numId="8">
    <w:abstractNumId w:val="4"/>
  </w:num>
  <w:num w:numId="9">
    <w:abstractNumId w:val="12"/>
  </w:num>
  <w:num w:numId="10">
    <w:abstractNumId w:val="13"/>
  </w:num>
  <w:num w:numId="11">
    <w:abstractNumId w:val="7"/>
  </w:num>
  <w:num w:numId="12">
    <w:abstractNumId w:val="11"/>
  </w:num>
  <w:num w:numId="13">
    <w:abstractNumId w:val="23"/>
  </w:num>
  <w:num w:numId="14">
    <w:abstractNumId w:val="16"/>
  </w:num>
  <w:num w:numId="15">
    <w:abstractNumId w:val="2"/>
  </w:num>
  <w:num w:numId="16">
    <w:abstractNumId w:val="19"/>
  </w:num>
  <w:num w:numId="17">
    <w:abstractNumId w:val="3"/>
  </w:num>
  <w:num w:numId="18">
    <w:abstractNumId w:val="26"/>
  </w:num>
  <w:num w:numId="19">
    <w:abstractNumId w:val="6"/>
  </w:num>
  <w:num w:numId="20">
    <w:abstractNumId w:val="14"/>
  </w:num>
  <w:num w:numId="21">
    <w:abstractNumId w:val="21"/>
  </w:num>
  <w:num w:numId="22">
    <w:abstractNumId w:val="10"/>
  </w:num>
  <w:num w:numId="23">
    <w:abstractNumId w:val="25"/>
  </w:num>
  <w:num w:numId="24">
    <w:abstractNumId w:val="22"/>
  </w:num>
  <w:num w:numId="25">
    <w:abstractNumId w:val="18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14"/>
    <w:rsid w:val="0000384D"/>
    <w:rsid w:val="00004E57"/>
    <w:rsid w:val="00033EFD"/>
    <w:rsid w:val="000504B0"/>
    <w:rsid w:val="0005649C"/>
    <w:rsid w:val="00057D6F"/>
    <w:rsid w:val="0007609C"/>
    <w:rsid w:val="00076FC5"/>
    <w:rsid w:val="000840B1"/>
    <w:rsid w:val="00090EF3"/>
    <w:rsid w:val="000978C6"/>
    <w:rsid w:val="000A3D39"/>
    <w:rsid w:val="000A6B68"/>
    <w:rsid w:val="000B2CFB"/>
    <w:rsid w:val="000B5544"/>
    <w:rsid w:val="000D43D2"/>
    <w:rsid w:val="000D5005"/>
    <w:rsid w:val="000D537E"/>
    <w:rsid w:val="000D671F"/>
    <w:rsid w:val="000E0689"/>
    <w:rsid w:val="000E36A8"/>
    <w:rsid w:val="000F1A3D"/>
    <w:rsid w:val="000F2498"/>
    <w:rsid w:val="000F5F42"/>
    <w:rsid w:val="00102AFC"/>
    <w:rsid w:val="00102BFC"/>
    <w:rsid w:val="001065BF"/>
    <w:rsid w:val="00116A7F"/>
    <w:rsid w:val="0011718D"/>
    <w:rsid w:val="00120CD1"/>
    <w:rsid w:val="0012769D"/>
    <w:rsid w:val="001320B8"/>
    <w:rsid w:val="00146DD3"/>
    <w:rsid w:val="00150A7F"/>
    <w:rsid w:val="001541ED"/>
    <w:rsid w:val="001570CC"/>
    <w:rsid w:val="00164CF6"/>
    <w:rsid w:val="00166391"/>
    <w:rsid w:val="00175726"/>
    <w:rsid w:val="001767F5"/>
    <w:rsid w:val="00190A8E"/>
    <w:rsid w:val="001936CF"/>
    <w:rsid w:val="001A19FD"/>
    <w:rsid w:val="001C3C59"/>
    <w:rsid w:val="001D0AEC"/>
    <w:rsid w:val="001D5F22"/>
    <w:rsid w:val="001E41AF"/>
    <w:rsid w:val="001E4DC0"/>
    <w:rsid w:val="001F0D5E"/>
    <w:rsid w:val="001F2047"/>
    <w:rsid w:val="00212585"/>
    <w:rsid w:val="00216D58"/>
    <w:rsid w:val="002240F0"/>
    <w:rsid w:val="0022673D"/>
    <w:rsid w:val="0024425A"/>
    <w:rsid w:val="002629AF"/>
    <w:rsid w:val="00262E57"/>
    <w:rsid w:val="00264722"/>
    <w:rsid w:val="0027238D"/>
    <w:rsid w:val="00274CF0"/>
    <w:rsid w:val="00285DDE"/>
    <w:rsid w:val="002931B9"/>
    <w:rsid w:val="00295FC7"/>
    <w:rsid w:val="00296E86"/>
    <w:rsid w:val="002A0C39"/>
    <w:rsid w:val="002A30AD"/>
    <w:rsid w:val="002B0AE4"/>
    <w:rsid w:val="002B17AF"/>
    <w:rsid w:val="002B19CE"/>
    <w:rsid w:val="002B39A9"/>
    <w:rsid w:val="002B5659"/>
    <w:rsid w:val="002C2548"/>
    <w:rsid w:val="002C498A"/>
    <w:rsid w:val="002D6549"/>
    <w:rsid w:val="00320A73"/>
    <w:rsid w:val="00322331"/>
    <w:rsid w:val="0032258D"/>
    <w:rsid w:val="00322AF1"/>
    <w:rsid w:val="00327E28"/>
    <w:rsid w:val="00327FE0"/>
    <w:rsid w:val="0033112A"/>
    <w:rsid w:val="00340786"/>
    <w:rsid w:val="00340C1D"/>
    <w:rsid w:val="00347D65"/>
    <w:rsid w:val="00352C79"/>
    <w:rsid w:val="003557B6"/>
    <w:rsid w:val="003636DE"/>
    <w:rsid w:val="003662A5"/>
    <w:rsid w:val="003718C8"/>
    <w:rsid w:val="00376CB9"/>
    <w:rsid w:val="00380864"/>
    <w:rsid w:val="003A10F8"/>
    <w:rsid w:val="003A1918"/>
    <w:rsid w:val="003A4704"/>
    <w:rsid w:val="003B4381"/>
    <w:rsid w:val="003B5352"/>
    <w:rsid w:val="003C17D6"/>
    <w:rsid w:val="003C1ABF"/>
    <w:rsid w:val="003C1DF7"/>
    <w:rsid w:val="003C4304"/>
    <w:rsid w:val="003C4425"/>
    <w:rsid w:val="003E0041"/>
    <w:rsid w:val="003E2415"/>
    <w:rsid w:val="003E660A"/>
    <w:rsid w:val="003E6E12"/>
    <w:rsid w:val="003E76BC"/>
    <w:rsid w:val="003F02B2"/>
    <w:rsid w:val="003F05E2"/>
    <w:rsid w:val="003F3EAB"/>
    <w:rsid w:val="00401C37"/>
    <w:rsid w:val="0043205C"/>
    <w:rsid w:val="00434709"/>
    <w:rsid w:val="00440CA4"/>
    <w:rsid w:val="00440EC0"/>
    <w:rsid w:val="00450955"/>
    <w:rsid w:val="004634CC"/>
    <w:rsid w:val="0046486C"/>
    <w:rsid w:val="00483646"/>
    <w:rsid w:val="0049132D"/>
    <w:rsid w:val="004A3CE6"/>
    <w:rsid w:val="004B1827"/>
    <w:rsid w:val="004B2406"/>
    <w:rsid w:val="004B302F"/>
    <w:rsid w:val="004E69B4"/>
    <w:rsid w:val="004F18BA"/>
    <w:rsid w:val="0050737C"/>
    <w:rsid w:val="005148F0"/>
    <w:rsid w:val="005156B2"/>
    <w:rsid w:val="005278E5"/>
    <w:rsid w:val="00537497"/>
    <w:rsid w:val="0055040E"/>
    <w:rsid w:val="0055158B"/>
    <w:rsid w:val="005574A3"/>
    <w:rsid w:val="00567F26"/>
    <w:rsid w:val="0057357F"/>
    <w:rsid w:val="00596913"/>
    <w:rsid w:val="00597DAD"/>
    <w:rsid w:val="005B07B2"/>
    <w:rsid w:val="005B2BD3"/>
    <w:rsid w:val="005D2134"/>
    <w:rsid w:val="005D6A71"/>
    <w:rsid w:val="005D7B1F"/>
    <w:rsid w:val="005E0B33"/>
    <w:rsid w:val="005E1DB7"/>
    <w:rsid w:val="005F451C"/>
    <w:rsid w:val="0062492E"/>
    <w:rsid w:val="00632A17"/>
    <w:rsid w:val="00645A21"/>
    <w:rsid w:val="006460A4"/>
    <w:rsid w:val="006541FE"/>
    <w:rsid w:val="006551C1"/>
    <w:rsid w:val="0066647E"/>
    <w:rsid w:val="00676EEB"/>
    <w:rsid w:val="0068086D"/>
    <w:rsid w:val="00686E19"/>
    <w:rsid w:val="006A5177"/>
    <w:rsid w:val="006B377E"/>
    <w:rsid w:val="00702AA5"/>
    <w:rsid w:val="00746B0E"/>
    <w:rsid w:val="00747609"/>
    <w:rsid w:val="007500A3"/>
    <w:rsid w:val="007503F6"/>
    <w:rsid w:val="0075092F"/>
    <w:rsid w:val="0075530E"/>
    <w:rsid w:val="00757463"/>
    <w:rsid w:val="00757752"/>
    <w:rsid w:val="00770CF9"/>
    <w:rsid w:val="00773E6F"/>
    <w:rsid w:val="00774333"/>
    <w:rsid w:val="00775721"/>
    <w:rsid w:val="0079505B"/>
    <w:rsid w:val="007A1FEE"/>
    <w:rsid w:val="007A23BF"/>
    <w:rsid w:val="007A245C"/>
    <w:rsid w:val="007B67B5"/>
    <w:rsid w:val="007C1314"/>
    <w:rsid w:val="007C4CC5"/>
    <w:rsid w:val="007C6262"/>
    <w:rsid w:val="007D7A86"/>
    <w:rsid w:val="007E1C32"/>
    <w:rsid w:val="007E4875"/>
    <w:rsid w:val="007E5AB2"/>
    <w:rsid w:val="00802092"/>
    <w:rsid w:val="00815BBD"/>
    <w:rsid w:val="0082211C"/>
    <w:rsid w:val="00830B5F"/>
    <w:rsid w:val="008323BB"/>
    <w:rsid w:val="00832F62"/>
    <w:rsid w:val="00833E13"/>
    <w:rsid w:val="0085363F"/>
    <w:rsid w:val="00854BA9"/>
    <w:rsid w:val="008607A2"/>
    <w:rsid w:val="0089216F"/>
    <w:rsid w:val="008941FE"/>
    <w:rsid w:val="00896422"/>
    <w:rsid w:val="008A54A2"/>
    <w:rsid w:val="008A54B0"/>
    <w:rsid w:val="008B1243"/>
    <w:rsid w:val="008B78E2"/>
    <w:rsid w:val="008C2615"/>
    <w:rsid w:val="008D43E7"/>
    <w:rsid w:val="008D7743"/>
    <w:rsid w:val="008E7779"/>
    <w:rsid w:val="008F725F"/>
    <w:rsid w:val="009001E8"/>
    <w:rsid w:val="00903C2C"/>
    <w:rsid w:val="009057A5"/>
    <w:rsid w:val="009073B4"/>
    <w:rsid w:val="009229F4"/>
    <w:rsid w:val="00947EAE"/>
    <w:rsid w:val="00954CC6"/>
    <w:rsid w:val="00962D02"/>
    <w:rsid w:val="00966C0F"/>
    <w:rsid w:val="0097178A"/>
    <w:rsid w:val="00973AA3"/>
    <w:rsid w:val="00981082"/>
    <w:rsid w:val="00987E6E"/>
    <w:rsid w:val="00993DAF"/>
    <w:rsid w:val="009B690D"/>
    <w:rsid w:val="009B704D"/>
    <w:rsid w:val="009C4AC6"/>
    <w:rsid w:val="009D7D94"/>
    <w:rsid w:val="00A01C71"/>
    <w:rsid w:val="00A0414B"/>
    <w:rsid w:val="00A07A6A"/>
    <w:rsid w:val="00A15684"/>
    <w:rsid w:val="00A1625B"/>
    <w:rsid w:val="00A21D3B"/>
    <w:rsid w:val="00A33189"/>
    <w:rsid w:val="00A45002"/>
    <w:rsid w:val="00A56188"/>
    <w:rsid w:val="00A568B5"/>
    <w:rsid w:val="00A644DC"/>
    <w:rsid w:val="00A837DA"/>
    <w:rsid w:val="00A92394"/>
    <w:rsid w:val="00A95978"/>
    <w:rsid w:val="00A97262"/>
    <w:rsid w:val="00AB177B"/>
    <w:rsid w:val="00AB70A3"/>
    <w:rsid w:val="00AC2DC7"/>
    <w:rsid w:val="00AD45D8"/>
    <w:rsid w:val="00AD4FBB"/>
    <w:rsid w:val="00AD50AD"/>
    <w:rsid w:val="00AD670E"/>
    <w:rsid w:val="00AE65B6"/>
    <w:rsid w:val="00B04B83"/>
    <w:rsid w:val="00B2350E"/>
    <w:rsid w:val="00B2746A"/>
    <w:rsid w:val="00B368DA"/>
    <w:rsid w:val="00B43B57"/>
    <w:rsid w:val="00B47135"/>
    <w:rsid w:val="00B5043E"/>
    <w:rsid w:val="00B64BB2"/>
    <w:rsid w:val="00B806BB"/>
    <w:rsid w:val="00B818BF"/>
    <w:rsid w:val="00B8619C"/>
    <w:rsid w:val="00B92393"/>
    <w:rsid w:val="00BA5E47"/>
    <w:rsid w:val="00BB5134"/>
    <w:rsid w:val="00BB6341"/>
    <w:rsid w:val="00BC71CD"/>
    <w:rsid w:val="00BD20D8"/>
    <w:rsid w:val="00BE1433"/>
    <w:rsid w:val="00BE4DA2"/>
    <w:rsid w:val="00BE5A82"/>
    <w:rsid w:val="00BE7A9F"/>
    <w:rsid w:val="00BF0DC8"/>
    <w:rsid w:val="00BF2636"/>
    <w:rsid w:val="00BF2845"/>
    <w:rsid w:val="00BF42B0"/>
    <w:rsid w:val="00C10CC2"/>
    <w:rsid w:val="00C400C1"/>
    <w:rsid w:val="00C45F7B"/>
    <w:rsid w:val="00C57DA5"/>
    <w:rsid w:val="00C61CE8"/>
    <w:rsid w:val="00C62D6D"/>
    <w:rsid w:val="00C64777"/>
    <w:rsid w:val="00C67F1A"/>
    <w:rsid w:val="00C70775"/>
    <w:rsid w:val="00C7242F"/>
    <w:rsid w:val="00C746B8"/>
    <w:rsid w:val="00C83B77"/>
    <w:rsid w:val="00C87EDA"/>
    <w:rsid w:val="00C9498E"/>
    <w:rsid w:val="00C96EB5"/>
    <w:rsid w:val="00CA2045"/>
    <w:rsid w:val="00CA655C"/>
    <w:rsid w:val="00CB352D"/>
    <w:rsid w:val="00CB5DAA"/>
    <w:rsid w:val="00CC0167"/>
    <w:rsid w:val="00CC0D0B"/>
    <w:rsid w:val="00CC5E93"/>
    <w:rsid w:val="00CD0468"/>
    <w:rsid w:val="00CD142C"/>
    <w:rsid w:val="00CD26CA"/>
    <w:rsid w:val="00CD3258"/>
    <w:rsid w:val="00CD3DDB"/>
    <w:rsid w:val="00CD510E"/>
    <w:rsid w:val="00CE1F93"/>
    <w:rsid w:val="00CF7CE5"/>
    <w:rsid w:val="00D07BFF"/>
    <w:rsid w:val="00D10FCD"/>
    <w:rsid w:val="00D11C87"/>
    <w:rsid w:val="00D22FE2"/>
    <w:rsid w:val="00D2537E"/>
    <w:rsid w:val="00D25A9D"/>
    <w:rsid w:val="00D332B9"/>
    <w:rsid w:val="00D34E67"/>
    <w:rsid w:val="00D35F40"/>
    <w:rsid w:val="00D430D0"/>
    <w:rsid w:val="00D47F56"/>
    <w:rsid w:val="00D53B90"/>
    <w:rsid w:val="00D64721"/>
    <w:rsid w:val="00D71182"/>
    <w:rsid w:val="00D740BE"/>
    <w:rsid w:val="00D749C9"/>
    <w:rsid w:val="00D94B86"/>
    <w:rsid w:val="00DB0B40"/>
    <w:rsid w:val="00DC3FDD"/>
    <w:rsid w:val="00DF31DC"/>
    <w:rsid w:val="00DF6645"/>
    <w:rsid w:val="00DF6786"/>
    <w:rsid w:val="00E05C48"/>
    <w:rsid w:val="00E40A45"/>
    <w:rsid w:val="00E40F92"/>
    <w:rsid w:val="00E437F9"/>
    <w:rsid w:val="00E70A56"/>
    <w:rsid w:val="00E74EA0"/>
    <w:rsid w:val="00E85E79"/>
    <w:rsid w:val="00EB1E68"/>
    <w:rsid w:val="00EB2CFF"/>
    <w:rsid w:val="00EB4AA4"/>
    <w:rsid w:val="00EC15C6"/>
    <w:rsid w:val="00EC3004"/>
    <w:rsid w:val="00ED4712"/>
    <w:rsid w:val="00EE16E5"/>
    <w:rsid w:val="00EE24DB"/>
    <w:rsid w:val="00EE3C17"/>
    <w:rsid w:val="00EE4AA1"/>
    <w:rsid w:val="00EF70F2"/>
    <w:rsid w:val="00EF74AA"/>
    <w:rsid w:val="00F04B4A"/>
    <w:rsid w:val="00F225E5"/>
    <w:rsid w:val="00F24153"/>
    <w:rsid w:val="00F36540"/>
    <w:rsid w:val="00F435F9"/>
    <w:rsid w:val="00F43E06"/>
    <w:rsid w:val="00F43E8D"/>
    <w:rsid w:val="00F605E6"/>
    <w:rsid w:val="00F62C3B"/>
    <w:rsid w:val="00F725DA"/>
    <w:rsid w:val="00F737F9"/>
    <w:rsid w:val="00F75EA7"/>
    <w:rsid w:val="00F91ABC"/>
    <w:rsid w:val="00F96EB5"/>
    <w:rsid w:val="00F97436"/>
    <w:rsid w:val="00FA0606"/>
    <w:rsid w:val="00FA2250"/>
    <w:rsid w:val="00FA38F7"/>
    <w:rsid w:val="00FB187E"/>
    <w:rsid w:val="00FB6EB3"/>
    <w:rsid w:val="00FB73B6"/>
    <w:rsid w:val="00FB7F08"/>
    <w:rsid w:val="00FC4D13"/>
    <w:rsid w:val="00FD135D"/>
    <w:rsid w:val="00FE0F17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5367A-A1CE-4F6E-9ADA-B6678B0B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777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Default">
    <w:name w:val="Default"/>
    <w:rsid w:val="00D35F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6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Koordinatnamreatabele">
    <w:name w:val="Table Grid"/>
    <w:basedOn w:val="Normalnatabela"/>
    <w:uiPriority w:val="39"/>
    <w:rsid w:val="00450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F737F9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3E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E2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27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101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48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196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770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787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0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83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550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616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76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80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1393</Words>
  <Characters>7941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Milan Momčilović</cp:lastModifiedBy>
  <cp:revision>3</cp:revision>
  <dcterms:created xsi:type="dcterms:W3CDTF">2020-03-18T09:06:00Z</dcterms:created>
  <dcterms:modified xsi:type="dcterms:W3CDTF">2020-03-18T13:28:00Z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