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1135"/>
        <w:gridCol w:w="949"/>
        <w:gridCol w:w="1578"/>
        <w:gridCol w:w="1462"/>
        <w:gridCol w:w="163"/>
        <w:gridCol w:w="1831"/>
        <w:gridCol w:w="1194"/>
      </w:tblGrid>
      <w:tr w:rsidR="0019398C" w:rsidRPr="00894239" w:rsidTr="004343A8">
        <w:trPr>
          <w:trHeight w:val="235"/>
        </w:trPr>
        <w:tc>
          <w:tcPr>
            <w:tcW w:w="9288" w:type="dxa"/>
            <w:gridSpan w:val="8"/>
          </w:tcPr>
          <w:p w:rsidR="0019398C" w:rsidRPr="00894239" w:rsidRDefault="0019398C" w:rsidP="0019398C">
            <w:pPr>
              <w:jc w:val="center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ВИСОКА ПОСЛОВНА ШКОЛА СТРУКОВНИХ СТУДИЈА НОВИ САД</w:t>
            </w:r>
          </w:p>
        </w:tc>
      </w:tr>
      <w:tr w:rsidR="00033B98" w:rsidRPr="00894239" w:rsidTr="0019398C">
        <w:trPr>
          <w:trHeight w:val="235"/>
        </w:trPr>
        <w:tc>
          <w:tcPr>
            <w:tcW w:w="2098" w:type="dxa"/>
            <w:gridSpan w:val="2"/>
          </w:tcPr>
          <w:p w:rsidR="00033B98" w:rsidRPr="00894239" w:rsidRDefault="00033B98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Школска година и семестар</w:t>
            </w:r>
          </w:p>
        </w:tc>
        <w:tc>
          <w:tcPr>
            <w:tcW w:w="7190" w:type="dxa"/>
            <w:gridSpan w:val="6"/>
          </w:tcPr>
          <w:p w:rsidR="00033B98" w:rsidRPr="00163C0C" w:rsidRDefault="00163C0C" w:rsidP="00E775EE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2019</w:t>
            </w:r>
            <w:r>
              <w:rPr>
                <w:bCs/>
                <w:sz w:val="22"/>
                <w:szCs w:val="22"/>
              </w:rPr>
              <w:t>/20</w:t>
            </w:r>
            <w:r>
              <w:rPr>
                <w:bCs/>
                <w:sz w:val="22"/>
                <w:szCs w:val="22"/>
                <w:lang w:val="en-US"/>
              </w:rPr>
              <w:t>20</w:t>
            </w:r>
          </w:p>
          <w:p w:rsidR="001839A7" w:rsidRPr="00894239" w:rsidRDefault="001839A7" w:rsidP="00E775EE">
            <w:p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 xml:space="preserve">II </w:t>
            </w:r>
            <w:r w:rsidRPr="00894239">
              <w:rPr>
                <w:bCs/>
                <w:sz w:val="22"/>
                <w:szCs w:val="22"/>
              </w:rPr>
              <w:t>семестар</w:t>
            </w:r>
          </w:p>
        </w:tc>
      </w:tr>
      <w:tr w:rsidR="008D47D3" w:rsidRPr="00894239" w:rsidTr="0019398C">
        <w:trPr>
          <w:trHeight w:val="235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 </w:t>
            </w:r>
          </w:p>
        </w:tc>
        <w:tc>
          <w:tcPr>
            <w:tcW w:w="7190" w:type="dxa"/>
            <w:gridSpan w:val="6"/>
          </w:tcPr>
          <w:p w:rsidR="008D47D3" w:rsidRPr="00163C0C" w:rsidRDefault="00163C0C" w:rsidP="00E775E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M</w:t>
            </w:r>
            <w:r>
              <w:rPr>
                <w:bCs/>
                <w:sz w:val="22"/>
                <w:szCs w:val="22"/>
              </w:rPr>
              <w:t xml:space="preserve">астер : 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Назив предмета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163C0C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БАНКАРСКО ПОСЛОВАЊЕ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Др Бранка Пауновић</w:t>
            </w:r>
          </w:p>
        </w:tc>
      </w:tr>
      <w:tr w:rsidR="0019398C" w:rsidRPr="00894239" w:rsidTr="0019398C">
        <w:trPr>
          <w:trHeight w:val="232"/>
        </w:trPr>
        <w:tc>
          <w:tcPr>
            <w:tcW w:w="2098" w:type="dxa"/>
            <w:gridSpan w:val="2"/>
          </w:tcPr>
          <w:p w:rsidR="0019398C" w:rsidRPr="00894239" w:rsidRDefault="0019398C" w:rsidP="00E775EE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Aсистент</w:t>
            </w:r>
          </w:p>
        </w:tc>
        <w:tc>
          <w:tcPr>
            <w:tcW w:w="7190" w:type="dxa"/>
            <w:gridSpan w:val="6"/>
          </w:tcPr>
          <w:p w:rsidR="0019398C" w:rsidRPr="00894239" w:rsidRDefault="0019398C" w:rsidP="00E775EE">
            <w:pPr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Статус предмета</w:t>
            </w:r>
          </w:p>
        </w:tc>
        <w:tc>
          <w:tcPr>
            <w:tcW w:w="7190" w:type="dxa"/>
            <w:gridSpan w:val="6"/>
          </w:tcPr>
          <w:p w:rsidR="008D47D3" w:rsidRPr="00894239" w:rsidRDefault="001839A7" w:rsidP="00E775EE">
            <w:pPr>
              <w:rPr>
                <w:bCs/>
                <w:sz w:val="22"/>
                <w:szCs w:val="22"/>
                <w:lang w:val="sr-Cyrl-CS"/>
              </w:rPr>
            </w:pPr>
            <w:r w:rsidRPr="00894239">
              <w:rPr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</w:p>
        </w:tc>
        <w:tc>
          <w:tcPr>
            <w:tcW w:w="7190" w:type="dxa"/>
            <w:gridSpan w:val="6"/>
          </w:tcPr>
          <w:p w:rsidR="008D47D3" w:rsidRPr="00894239" w:rsidRDefault="00DB7713" w:rsidP="00E775EE">
            <w:pPr>
              <w:rPr>
                <w:bCs/>
                <w:sz w:val="22"/>
                <w:szCs w:val="22"/>
                <w:lang w:val="en-US"/>
              </w:rPr>
            </w:pPr>
            <w:r w:rsidRPr="00894239">
              <w:rPr>
                <w:bCs/>
                <w:sz w:val="22"/>
                <w:szCs w:val="22"/>
                <w:lang w:val="en-US"/>
              </w:rPr>
              <w:t>3+3 (</w:t>
            </w:r>
            <w:r w:rsidR="001839A7" w:rsidRPr="00894239">
              <w:rPr>
                <w:bCs/>
                <w:sz w:val="22"/>
                <w:szCs w:val="22"/>
                <w:lang w:val="sr-Cyrl-CS"/>
              </w:rPr>
              <w:t>7</w:t>
            </w:r>
            <w:r w:rsidRPr="00894239">
              <w:rPr>
                <w:bCs/>
                <w:sz w:val="22"/>
                <w:szCs w:val="22"/>
                <w:lang w:val="en-US"/>
              </w:rPr>
              <w:t>)</w:t>
            </w:r>
          </w:p>
        </w:tc>
      </w:tr>
      <w:tr w:rsidR="008D47D3" w:rsidRPr="00894239" w:rsidTr="0019398C">
        <w:trPr>
          <w:trHeight w:val="232"/>
        </w:trPr>
        <w:tc>
          <w:tcPr>
            <w:tcW w:w="2098" w:type="dxa"/>
            <w:gridSpan w:val="2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  <w:tc>
          <w:tcPr>
            <w:tcW w:w="7190" w:type="dxa"/>
            <w:gridSpan w:val="6"/>
          </w:tcPr>
          <w:p w:rsidR="008D47D3" w:rsidRPr="00894239" w:rsidRDefault="008D47D3" w:rsidP="00E775EE">
            <w:pPr>
              <w:rPr>
                <w:bCs/>
                <w:sz w:val="22"/>
                <w:szCs w:val="22"/>
              </w:rPr>
            </w:pP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Циљ предмета:</w:t>
            </w:r>
          </w:p>
          <w:p w:rsidR="004358CB" w:rsidRPr="00894239" w:rsidRDefault="00DB7713" w:rsidP="00894239">
            <w:pPr>
              <w:jc w:val="both"/>
              <w:rPr>
                <w:b/>
                <w:bCs/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У тржишним привредама банке обављају платни промет, и то је једна од њихових значајнијих функција. Oсновни циљ овог предмета је овладавање у потпуности систематизованим теоријским и практичним знањима из области банкарског пословања и платног промета. Изведени циљ је апликација ових знања у пракси како у земљи тако и у иностранству.</w:t>
            </w: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Исход предмета:</w:t>
            </w:r>
          </w:p>
          <w:p w:rsidR="004358CB" w:rsidRPr="00894239" w:rsidRDefault="00DB7713" w:rsidP="00DB7713">
            <w:pPr>
              <w:jc w:val="both"/>
              <w:rPr>
                <w:b/>
                <w:bCs/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Студенти стичу темељно познавање и разумевање принципа банкарског пословања и платног промета Упознавањем са методологијом функционисања банака и анализом платног промета домаћег и међународног, студенти се оспособљавају за идентификовање и решавање конкретних проблема у пракси и доношење пословно финансијских одлука у банкама и др. сличним институцијама. Савладавањем кључних појмова и инструмената карактеристичних за банкарско пословање и платни промет, како у земљи тако и у иностранству, студенти се оспособљавају за повезивање знања из других области, на пример: Осигурања и др. сличних области. Студенти ће упознавањем са најновијим трендовима из области банкарског пословања и платног промета бити оспособљени за праћење и примену новина у финансијама, уз неопходну употребу информационо-комуникационих технологија у овладавању знањима.</w:t>
            </w:r>
          </w:p>
        </w:tc>
      </w:tr>
      <w:tr w:rsidR="000E1B24" w:rsidRPr="00894239" w:rsidTr="0019398C">
        <w:tc>
          <w:tcPr>
            <w:tcW w:w="9288" w:type="dxa"/>
            <w:gridSpan w:val="8"/>
          </w:tcPr>
          <w:p w:rsidR="000E1B24" w:rsidRPr="00894239" w:rsidRDefault="000E1B24" w:rsidP="000E1B24">
            <w:pPr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Садржај предмета:</w:t>
            </w:r>
          </w:p>
          <w:p w:rsidR="00DB7713" w:rsidRPr="00894239" w:rsidRDefault="00DB7713" w:rsidP="00DB7713">
            <w:p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Теоријска настава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ПОСЛОВНА ПОЛИТИКА БАНАКА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ПЛАТНИ ПРОМЕТ У ТРЖИШНИМ ПРИВРЕДАМА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МОНЕТАРНА ПИТАЊА У ОБЛИКОВАЊУ ПЛАТНОГ ПРОМЕТА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ПОСЛОВНЕ БАНКЕ И УНУТРАШЊИ ПЛАТНИ ПРОМЕТ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ОПЕРАТИВНА И ФИНАНСИЈСКА СТРУКТУРА СИСТЕМА ПЛАЋАЊА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ИНСТРУМЕНТИ ПЛАТНОГ ПРОМЕТА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ИНСТРУМЕНТИ ОСИГУРАЊА ПЛАЋАЊА</w:t>
            </w:r>
          </w:p>
          <w:p w:rsidR="00DB7713" w:rsidRPr="00163C0C" w:rsidRDefault="00DB7713" w:rsidP="00163C0C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ИНСТРУМЕНТИ И МЕХАНИЗМИ ПЛАЋАЊА ПРИ ЕЛЕКТРОНСКОМ ПРЕНОСУ СРЕДСТАВА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ДЕВИЗНО ПОСЛОВАЊЕ БАНАКА</w:t>
            </w:r>
          </w:p>
          <w:p w:rsidR="00DB7713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МЕЂУНАРОДНИ ИНСТРУМЕНТИ ОБЕЗБЕЂЕЊА ПЛАЋАЊА</w:t>
            </w:r>
            <w:bookmarkStart w:id="0" w:name="_GoBack"/>
            <w:bookmarkEnd w:id="0"/>
          </w:p>
          <w:p w:rsidR="004358CB" w:rsidRPr="00894239" w:rsidRDefault="00DB7713" w:rsidP="00DB7713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ПРИРОДА И УПРАВЉАЊЕ РИЗИЦИМА ПЛАТНОГ ПРОМЕТА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033B98" w:rsidP="00033B98">
            <w:pPr>
              <w:jc w:val="center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ПЛАН И ПРОГРАМ РАДА</w:t>
            </w:r>
          </w:p>
        </w:tc>
      </w:tr>
      <w:tr w:rsidR="00033B98" w:rsidRPr="00894239" w:rsidTr="00033B98">
        <w:tc>
          <w:tcPr>
            <w:tcW w:w="959" w:type="dxa"/>
          </w:tcPr>
          <w:p w:rsidR="00033B98" w:rsidRPr="00894239" w:rsidRDefault="00033B98" w:rsidP="00E775EE">
            <w:pPr>
              <w:overflowPunct w:val="0"/>
              <w:jc w:val="both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Недеља</w:t>
            </w:r>
          </w:p>
        </w:tc>
        <w:tc>
          <w:tcPr>
            <w:tcW w:w="8329" w:type="dxa"/>
            <w:gridSpan w:val="7"/>
          </w:tcPr>
          <w:p w:rsidR="00033B98" w:rsidRPr="00894239" w:rsidRDefault="00033B98" w:rsidP="00033B98">
            <w:pPr>
              <w:overflowPunct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Наставна јединица</w:t>
            </w:r>
          </w:p>
        </w:tc>
      </w:tr>
      <w:tr w:rsidR="00033B98" w:rsidRPr="00894239" w:rsidTr="00033B98">
        <w:trPr>
          <w:trHeight w:val="251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29" w:type="dxa"/>
            <w:gridSpan w:val="7"/>
          </w:tcPr>
          <w:p w:rsidR="00033B98" w:rsidRPr="00894239" w:rsidRDefault="001839A7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Уводна предавања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Менаџмент банкарарске индустрије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Концепт банкарског производа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8329" w:type="dxa"/>
            <w:gridSpan w:val="7"/>
          </w:tcPr>
          <w:p w:rsidR="00033B98" w:rsidRPr="00D33326" w:rsidRDefault="00D33326" w:rsidP="00D33326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Пословне банке, каматни рачун, ануитет и сл 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Ефикасност пословне политике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8329" w:type="dxa"/>
            <w:gridSpan w:val="7"/>
          </w:tcPr>
          <w:p w:rsidR="00033B98" w:rsidRPr="00894239" w:rsidRDefault="00DE0A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Кредитни каматни тржишни девизни ризик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DE0A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 xml:space="preserve">Управљање </w:t>
            </w:r>
            <w:r w:rsidR="00DE0A7B">
              <w:rPr>
                <w:bCs/>
                <w:sz w:val="22"/>
                <w:szCs w:val="22"/>
              </w:rPr>
              <w:t xml:space="preserve">ризицима, пример оперативног 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DE0A7B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 xml:space="preserve">Управљање </w:t>
            </w:r>
            <w:r w:rsidR="00DE0A7B">
              <w:rPr>
                <w:bCs/>
                <w:sz w:val="22"/>
                <w:szCs w:val="22"/>
              </w:rPr>
              <w:t>депозитним потенцијалом , финансијски извештаји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8329" w:type="dxa"/>
            <w:gridSpan w:val="7"/>
          </w:tcPr>
          <w:p w:rsidR="00033B98" w:rsidRPr="00894239" w:rsidRDefault="00DE0A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Биланс стања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10.</w:t>
            </w:r>
          </w:p>
        </w:tc>
        <w:tc>
          <w:tcPr>
            <w:tcW w:w="8329" w:type="dxa"/>
            <w:gridSpan w:val="7"/>
          </w:tcPr>
          <w:p w:rsidR="00033B98" w:rsidRPr="00894239" w:rsidRDefault="00DE0A7B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Биланс успеха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lastRenderedPageBreak/>
              <w:t>11.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Савремени банкарски систем и пословна политика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12.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Инвестиционо банкарство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Унутрашњи платни промет и банке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14.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Девизни менаџмент пословних банака</w:t>
            </w:r>
          </w:p>
        </w:tc>
      </w:tr>
      <w:tr w:rsidR="00033B98" w:rsidRPr="00894239" w:rsidTr="00033B98">
        <w:trPr>
          <w:trHeight w:val="238"/>
        </w:trPr>
        <w:tc>
          <w:tcPr>
            <w:tcW w:w="959" w:type="dxa"/>
          </w:tcPr>
          <w:p w:rsidR="00033B98" w:rsidRPr="00894239" w:rsidRDefault="00033B98" w:rsidP="00033B98">
            <w:pPr>
              <w:overflowPunct w:val="0"/>
              <w:jc w:val="right"/>
              <w:textAlignment w:val="baseline"/>
              <w:rPr>
                <w:b/>
                <w:bCs/>
                <w:sz w:val="22"/>
                <w:szCs w:val="22"/>
              </w:rPr>
            </w:pPr>
            <w:r w:rsidRPr="00894239">
              <w:rPr>
                <w:b/>
                <w:bCs/>
                <w:sz w:val="22"/>
                <w:szCs w:val="22"/>
              </w:rPr>
              <w:t>15.</w:t>
            </w:r>
          </w:p>
        </w:tc>
        <w:tc>
          <w:tcPr>
            <w:tcW w:w="8329" w:type="dxa"/>
            <w:gridSpan w:val="7"/>
          </w:tcPr>
          <w:p w:rsidR="00033B98" w:rsidRPr="00894239" w:rsidRDefault="00631C92" w:rsidP="00E775EE">
            <w:pPr>
              <w:overflowPunct w:val="0"/>
              <w:jc w:val="both"/>
              <w:textAlignment w:val="baseline"/>
              <w:rPr>
                <w:bCs/>
                <w:sz w:val="22"/>
                <w:szCs w:val="22"/>
              </w:rPr>
            </w:pPr>
            <w:r w:rsidRPr="00894239">
              <w:rPr>
                <w:bCs/>
                <w:sz w:val="22"/>
                <w:szCs w:val="22"/>
              </w:rPr>
              <w:t>Менаџмент међународних плаћања и пословне банке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Default="008D47D3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 w:rsidR="007A6AD8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  <w:p w:rsidR="00163C0C" w:rsidRDefault="00163C0C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 Алексадар Живковић Раде Станкић Срђан Маринковић „БАНКАРСКО ПОСЛОВАЊЕ И ПЛАТНИ ПРОМЕТ“ -ЕКОНОМСКИ ФАКУЛТЕТ-БЕОГРАД</w:t>
            </w:r>
          </w:p>
          <w:p w:rsidR="007A6AD8" w:rsidRDefault="007A6AD8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</w:p>
          <w:p w:rsidR="007A6AD8" w:rsidRDefault="007A6AD8" w:rsidP="00E775E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(Може и измењено издање</w:t>
            </w:r>
          </w:p>
          <w:p w:rsidR="007A6AD8" w:rsidRDefault="007A6AD8" w:rsidP="007A6AD8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Алексадар Живковић Раде Станкић Срђан Маринковић,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Велимир</w:t>
            </w:r>
            <w:proofErr w:type="spellEnd"/>
            <w:r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lang w:val="en-US"/>
              </w:rPr>
              <w:t>Лукић</w:t>
            </w:r>
            <w:proofErr w:type="spellEnd"/>
            <w:r>
              <w:rPr>
                <w:b/>
                <w:bCs/>
                <w:sz w:val="22"/>
                <w:szCs w:val="22"/>
                <w:lang w:val="sr-Cyrl-CS"/>
              </w:rPr>
              <w:t>„БАНКАРСКО ПОСЛОВАЊЕ И ПЛАТНИ ПРОМЕТ“ -ЕКОНОМСКИ ФАКУЛТЕТ-БЕОГРАД)</w:t>
            </w:r>
          </w:p>
          <w:p w:rsidR="007A6AD8" w:rsidRPr="007A6AD8" w:rsidRDefault="007A6AD8" w:rsidP="00E775EE">
            <w:pPr>
              <w:jc w:val="both"/>
              <w:rPr>
                <w:b/>
                <w:bCs/>
                <w:sz w:val="22"/>
                <w:szCs w:val="22"/>
                <w:lang w:val="en-US"/>
              </w:rPr>
            </w:pPr>
          </w:p>
          <w:p w:rsidR="00163C0C" w:rsidRPr="00894239" w:rsidRDefault="00163C0C" w:rsidP="00E775EE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 xml:space="preserve">Додатно: 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Miller R.L,Van Hose D.D., (2005) Модерни новац и банкарство, Дата статус, Београд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Rose P. S., (2004) Менаџмент комерцијалних банака, 4 издање, Maтe, Загреб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Konh M., (2006) Financial Institutions and Markets, Oxford University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Mizen P., (2005) Central Banking, Monetary Theory and Practice, Mate, Zagreb</w:t>
            </w:r>
          </w:p>
          <w:p w:rsidR="007716FD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Heffernan S., (2004) Modern banking, Дата статус, Београд</w:t>
            </w:r>
          </w:p>
          <w:p w:rsidR="008D47D3" w:rsidRPr="00894239" w:rsidRDefault="007716FD" w:rsidP="007716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</w:rPr>
              <w:t>Студије случаја и чланци у часописима, књигама и на Интернету</w:t>
            </w:r>
          </w:p>
        </w:tc>
      </w:tr>
      <w:tr w:rsidR="008D47D3" w:rsidRPr="00894239" w:rsidTr="0019398C">
        <w:tc>
          <w:tcPr>
            <w:tcW w:w="3050" w:type="dxa"/>
            <w:gridSpan w:val="3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 xml:space="preserve">Број часова </w:t>
            </w:r>
            <w:r w:rsidRPr="00894239">
              <w:rPr>
                <w:b/>
                <w:sz w:val="22"/>
                <w:szCs w:val="22"/>
                <w:lang w:val="sr-Cyrl-CS"/>
              </w:rPr>
              <w:t xml:space="preserve"> активне наставе</w:t>
            </w:r>
          </w:p>
        </w:tc>
        <w:tc>
          <w:tcPr>
            <w:tcW w:w="3046" w:type="dxa"/>
            <w:gridSpan w:val="2"/>
          </w:tcPr>
          <w:p w:rsidR="008D47D3" w:rsidRPr="00894239" w:rsidRDefault="008D47D3" w:rsidP="008D47D3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sz w:val="22"/>
                <w:szCs w:val="22"/>
                <w:lang w:val="sr-Cyrl-CS"/>
              </w:rPr>
              <w:t xml:space="preserve">Теоријска настава: </w:t>
            </w:r>
          </w:p>
        </w:tc>
        <w:tc>
          <w:tcPr>
            <w:tcW w:w="3192" w:type="dxa"/>
            <w:gridSpan w:val="3"/>
          </w:tcPr>
          <w:p w:rsidR="008D47D3" w:rsidRPr="00894239" w:rsidRDefault="008D47D3" w:rsidP="008D47D3">
            <w:pPr>
              <w:rPr>
                <w:b/>
                <w:bCs/>
                <w:sz w:val="22"/>
                <w:szCs w:val="22"/>
                <w:lang w:val="en-US"/>
              </w:rPr>
            </w:pPr>
            <w:r w:rsidRPr="00894239">
              <w:rPr>
                <w:b/>
                <w:sz w:val="22"/>
                <w:szCs w:val="22"/>
                <w:lang w:val="ru-RU"/>
              </w:rPr>
              <w:t xml:space="preserve">Практична настава: </w:t>
            </w:r>
          </w:p>
        </w:tc>
      </w:tr>
      <w:tr w:rsidR="008D47D3" w:rsidRPr="00894239" w:rsidTr="0019398C">
        <w:tc>
          <w:tcPr>
            <w:tcW w:w="9288" w:type="dxa"/>
            <w:gridSpan w:val="8"/>
          </w:tcPr>
          <w:p w:rsidR="008D47D3" w:rsidRPr="00894239" w:rsidRDefault="008D47D3" w:rsidP="00E775EE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Оцена  знања (максимални број поена 100)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b/>
                <w:i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iCs/>
                <w:sz w:val="22"/>
                <w:szCs w:val="22"/>
                <w:lang w:val="sr-Cyrl-CS"/>
              </w:rPr>
              <w:t xml:space="preserve">Завршни испит 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45</w:t>
            </w: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присуство на предавањима и вежбама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писмени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b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  <w:r w:rsidRPr="00894239">
              <w:rPr>
                <w:sz w:val="22"/>
                <w:szCs w:val="22"/>
                <w:lang w:val="sr-Cyrl-CS"/>
              </w:rPr>
              <w:t>усмени испит</w:t>
            </w: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  <w:lang w:val="ru-RU"/>
              </w:rPr>
            </w:pPr>
            <w:r w:rsidRPr="00894239">
              <w:rPr>
                <w:sz w:val="22"/>
                <w:szCs w:val="22"/>
                <w:lang w:val="sr-Cyrl-CS"/>
              </w:rPr>
              <w:t>остале активностии</w:t>
            </w:r>
            <w:r w:rsidRPr="00894239">
              <w:rPr>
                <w:sz w:val="22"/>
                <w:szCs w:val="22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628" w:type="dxa"/>
            <w:gridSpan w:val="2"/>
            <w:shd w:val="clear" w:color="auto" w:fill="auto"/>
            <w:vAlign w:val="center"/>
          </w:tcPr>
          <w:p w:rsidR="008D47D3" w:rsidRPr="00894239" w:rsidRDefault="00163C0C" w:rsidP="00E775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8D47D3" w:rsidRPr="00894239" w:rsidTr="0019398C">
        <w:tc>
          <w:tcPr>
            <w:tcW w:w="4631" w:type="dxa"/>
            <w:gridSpan w:val="4"/>
          </w:tcPr>
          <w:p w:rsidR="008D47D3" w:rsidRPr="00894239" w:rsidRDefault="008D47D3" w:rsidP="00E775EE">
            <w:pPr>
              <w:rPr>
                <w:sz w:val="22"/>
                <w:szCs w:val="22"/>
              </w:rPr>
            </w:pPr>
            <w:r w:rsidRPr="00894239">
              <w:rPr>
                <w:sz w:val="22"/>
                <w:szCs w:val="22"/>
                <w:lang w:val="sr-Cyrl-CS"/>
              </w:rPr>
              <w:t xml:space="preserve">практичан рад: </w:t>
            </w:r>
            <w:r w:rsidRPr="00894239">
              <w:rPr>
                <w:sz w:val="22"/>
                <w:szCs w:val="22"/>
              </w:rPr>
              <w:t>студија случаја</w:t>
            </w:r>
          </w:p>
        </w:tc>
        <w:tc>
          <w:tcPr>
            <w:tcW w:w="1628" w:type="dxa"/>
            <w:gridSpan w:val="2"/>
            <w:vAlign w:val="center"/>
          </w:tcPr>
          <w:p w:rsidR="008D47D3" w:rsidRPr="00894239" w:rsidRDefault="001839A7" w:rsidP="00E775EE">
            <w:pPr>
              <w:jc w:val="center"/>
              <w:rPr>
                <w:b/>
                <w:bCs/>
                <w:sz w:val="22"/>
                <w:szCs w:val="22"/>
                <w:lang w:val="sr-Cyrl-CS"/>
              </w:rPr>
            </w:pPr>
            <w:r w:rsidRPr="00894239">
              <w:rPr>
                <w:b/>
                <w:bCs/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1833" w:type="dxa"/>
            <w:shd w:val="clear" w:color="auto" w:fill="auto"/>
          </w:tcPr>
          <w:p w:rsidR="008D47D3" w:rsidRPr="00894239" w:rsidRDefault="008D47D3" w:rsidP="00E775EE">
            <w:pPr>
              <w:rPr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196" w:type="dxa"/>
            <w:shd w:val="clear" w:color="auto" w:fill="auto"/>
          </w:tcPr>
          <w:p w:rsidR="008D47D3" w:rsidRPr="00894239" w:rsidRDefault="008D47D3" w:rsidP="00E775EE">
            <w:pPr>
              <w:jc w:val="center"/>
              <w:rPr>
                <w:i/>
                <w:iCs/>
                <w:sz w:val="22"/>
                <w:szCs w:val="22"/>
                <w:lang w:val="sr-Cyrl-CS"/>
              </w:rPr>
            </w:pPr>
          </w:p>
        </w:tc>
      </w:tr>
    </w:tbl>
    <w:p w:rsidR="006B1437" w:rsidRPr="00894239" w:rsidRDefault="007A6AD8">
      <w:pPr>
        <w:rPr>
          <w:sz w:val="22"/>
          <w:szCs w:val="22"/>
        </w:rPr>
      </w:pPr>
    </w:p>
    <w:sectPr w:rsidR="006B1437" w:rsidRPr="00894239" w:rsidSect="0029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348"/>
    <w:multiLevelType w:val="hybridMultilevel"/>
    <w:tmpl w:val="777E7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C48"/>
    <w:rsid w:val="00033B98"/>
    <w:rsid w:val="000E1B24"/>
    <w:rsid w:val="00116BC5"/>
    <w:rsid w:val="00163C0C"/>
    <w:rsid w:val="001839A7"/>
    <w:rsid w:val="0019398C"/>
    <w:rsid w:val="00290CA5"/>
    <w:rsid w:val="002D3C48"/>
    <w:rsid w:val="002D43DE"/>
    <w:rsid w:val="004358CB"/>
    <w:rsid w:val="00436748"/>
    <w:rsid w:val="00631C92"/>
    <w:rsid w:val="007716FD"/>
    <w:rsid w:val="007A6AD8"/>
    <w:rsid w:val="00894239"/>
    <w:rsid w:val="008D47D3"/>
    <w:rsid w:val="008F015E"/>
    <w:rsid w:val="00B22E20"/>
    <w:rsid w:val="00C50B31"/>
    <w:rsid w:val="00D23464"/>
    <w:rsid w:val="00D33326"/>
    <w:rsid w:val="00DB7713"/>
    <w:rsid w:val="00DE0A7B"/>
    <w:rsid w:val="00FB1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Windows7</cp:lastModifiedBy>
  <cp:revision>4</cp:revision>
  <dcterms:created xsi:type="dcterms:W3CDTF">2020-02-19T12:12:00Z</dcterms:created>
  <dcterms:modified xsi:type="dcterms:W3CDTF">2020-03-27T12:50:00Z</dcterms:modified>
</cp:coreProperties>
</file>