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03725D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A53F51" w:rsidRDefault="00ED32B0" w:rsidP="00A53F51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437CF3" w:rsidP="00437CF3">
      <w:pPr>
        <w:jc w:val="right"/>
      </w:pPr>
      <w:r>
        <w:rPr>
          <w:bCs/>
          <w:sz w:val="24"/>
          <w:szCs w:val="24"/>
          <w:lang w:val="sr-Cyrl-RS"/>
        </w:rPr>
        <w:t xml:space="preserve">страна 1 од </w:t>
      </w:r>
      <w:r>
        <w:rPr>
          <w:bCs/>
          <w:sz w:val="24"/>
          <w:szCs w:val="24"/>
        </w:rPr>
        <w:t>2</w:t>
      </w:r>
    </w:p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03725D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03725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  <w:tr w:rsidR="00437CF3" w:rsidTr="008D1FCA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CF3" w:rsidRPr="001B41F9" w:rsidRDefault="00437CF3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1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7CF3" w:rsidRPr="00575812" w:rsidRDefault="00437CF3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vAlign w:val="center"/>
          </w:tcPr>
          <w:p w:rsidR="00437CF3" w:rsidRDefault="00437CF3" w:rsidP="009A225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</w:tr>
      <w:tr w:rsidR="00437CF3" w:rsidTr="008D1FCA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7CF3" w:rsidRPr="001B41F9" w:rsidRDefault="00437CF3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7CF3" w:rsidRPr="00575812" w:rsidRDefault="00437CF3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03725D">
              <w:rPr>
                <w:b/>
                <w:sz w:val="28"/>
                <w:szCs w:val="28"/>
                <w:lang w:val="sr-Cyrl-RS"/>
              </w:rPr>
              <w:t>Материјал – Вредновање предиспитних активности</w:t>
            </w:r>
          </w:p>
        </w:tc>
        <w:tc>
          <w:tcPr>
            <w:tcW w:w="1978" w:type="dxa"/>
            <w:vMerge/>
            <w:vAlign w:val="center"/>
          </w:tcPr>
          <w:p w:rsidR="00437CF3" w:rsidRDefault="00437CF3" w:rsidP="009A2252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</w:p>
    <w:tbl>
      <w:tblPr>
        <w:tblStyle w:val="TableGrid"/>
        <w:tblW w:w="10049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416"/>
        <w:gridCol w:w="4962"/>
        <w:gridCol w:w="3402"/>
        <w:gridCol w:w="1269"/>
      </w:tblGrid>
      <w:tr w:rsidR="00DD00FE" w:rsidTr="00DD00FE">
        <w:tc>
          <w:tcPr>
            <w:tcW w:w="10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0FE" w:rsidRDefault="00DD00FE" w:rsidP="00DD00FE">
            <w:pPr>
              <w:spacing w:after="120"/>
              <w:rPr>
                <w:lang w:val="sr-Cyrl-CS"/>
              </w:rPr>
            </w:pPr>
            <w:r>
              <w:rPr>
                <w:lang w:val="sr-Cyrl-CS"/>
              </w:rPr>
              <w:t>Активности у оквиру којих се остварују предиспитне обавезе</w:t>
            </w:r>
          </w:p>
        </w:tc>
      </w:tr>
      <w:tr w:rsidR="001C5E05" w:rsidTr="00DD00FE">
        <w:tc>
          <w:tcPr>
            <w:tcW w:w="4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E05" w:rsidRPr="001B41F9" w:rsidRDefault="001C5E05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C5E05" w:rsidRPr="001C5E05" w:rsidRDefault="001C5E05" w:rsidP="001C5E05">
            <w:pPr>
              <w:ind w:left="57"/>
              <w:rPr>
                <w:sz w:val="28"/>
                <w:szCs w:val="28"/>
                <w:lang w:val="sr-Cyrl-CS"/>
              </w:rPr>
            </w:pPr>
            <w:r w:rsidRPr="001C5E05">
              <w:rPr>
                <w:sz w:val="28"/>
                <w:szCs w:val="28"/>
                <w:lang w:val="sr-Cyrl-CS"/>
              </w:rPr>
              <w:t>Задаци, активности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5E05" w:rsidRPr="00A53F51" w:rsidRDefault="001C5E05" w:rsidP="001B41F9">
            <w:pPr>
              <w:rPr>
                <w:lang w:val="sr-Cyrl-CS"/>
              </w:rPr>
            </w:pPr>
            <w:r>
              <w:rPr>
                <w:lang w:val="sr-Cyrl-CS"/>
              </w:rPr>
              <w:t>Кратак опис задатка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C5E05" w:rsidRDefault="001C5E05" w:rsidP="001B41F9">
            <w:pPr>
              <w:rPr>
                <w:lang w:val="sr-Cyrl-CS"/>
              </w:rPr>
            </w:pPr>
            <w:r>
              <w:rPr>
                <w:lang w:val="sr-Cyrl-CS"/>
              </w:rPr>
              <w:t>Број поена</w:t>
            </w:r>
          </w:p>
        </w:tc>
      </w:tr>
      <w:tr w:rsidR="00A53F51" w:rsidTr="00DD00FE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A53F51" w:rsidRPr="0003725D" w:rsidRDefault="0003725D" w:rsidP="0003725D">
            <w:pPr>
              <w:ind w:right="57"/>
              <w:jc w:val="center"/>
              <w:rPr>
                <w:sz w:val="28"/>
                <w:szCs w:val="28"/>
              </w:rPr>
            </w:pPr>
            <w:r w:rsidRPr="0003725D">
              <w:rPr>
                <w:sz w:val="28"/>
                <w:szCs w:val="28"/>
              </w:rPr>
              <w:t>I</w:t>
            </w:r>
          </w:p>
        </w:tc>
        <w:tc>
          <w:tcPr>
            <w:tcW w:w="4962" w:type="dxa"/>
            <w:tcMar>
              <w:left w:w="0" w:type="dxa"/>
              <w:right w:w="0" w:type="dxa"/>
            </w:tcMar>
            <w:vAlign w:val="center"/>
          </w:tcPr>
          <w:p w:rsidR="00A53F51" w:rsidRPr="001C5E05" w:rsidRDefault="001C5E05" w:rsidP="009A2252">
            <w:pPr>
              <w:ind w:left="57"/>
              <w:rPr>
                <w:sz w:val="28"/>
                <w:szCs w:val="28"/>
                <w:lang w:val="sr-Cyrl-CS"/>
              </w:rPr>
            </w:pPr>
            <w:r w:rsidRPr="001C5E05">
              <w:rPr>
                <w:sz w:val="28"/>
                <w:szCs w:val="28"/>
                <w:lang w:val="sr-Cyrl-CS"/>
              </w:rPr>
              <w:t>Рад на предложену тему</w:t>
            </w:r>
          </w:p>
        </w:tc>
        <w:tc>
          <w:tcPr>
            <w:tcW w:w="3402" w:type="dxa"/>
          </w:tcPr>
          <w:p w:rsidR="00A53F51" w:rsidRPr="00A53F51" w:rsidRDefault="00A53F51" w:rsidP="001B41F9">
            <w:pPr>
              <w:rPr>
                <w:lang w:val="sr-Cyrl-CS"/>
              </w:rPr>
            </w:pPr>
            <w:r w:rsidRPr="00A53F51">
              <w:rPr>
                <w:lang w:val="sr-Cyrl-CS"/>
              </w:rPr>
              <w:t>Студент бира једну о предложених тема. Рад обима од 5 до 10 страна.</w:t>
            </w:r>
          </w:p>
        </w:tc>
        <w:tc>
          <w:tcPr>
            <w:tcW w:w="1269" w:type="dxa"/>
          </w:tcPr>
          <w:p w:rsidR="00A53F51" w:rsidRPr="00A53F51" w:rsidRDefault="00A53F51" w:rsidP="001B41F9">
            <w:pPr>
              <w:rPr>
                <w:lang w:val="sr-Cyrl-CS"/>
              </w:rPr>
            </w:pPr>
            <w:r>
              <w:rPr>
                <w:lang w:val="sr-Cyrl-CS"/>
              </w:rPr>
              <w:t>30 поена</w:t>
            </w:r>
          </w:p>
        </w:tc>
      </w:tr>
      <w:tr w:rsidR="00A53F51" w:rsidTr="00DD00FE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A53F51" w:rsidRPr="0003725D" w:rsidRDefault="0003725D" w:rsidP="0003725D">
            <w:pPr>
              <w:ind w:right="57"/>
              <w:jc w:val="center"/>
              <w:rPr>
                <w:sz w:val="28"/>
                <w:szCs w:val="28"/>
              </w:rPr>
            </w:pPr>
            <w:r w:rsidRPr="0003725D">
              <w:rPr>
                <w:sz w:val="28"/>
                <w:szCs w:val="28"/>
              </w:rPr>
              <w:t>II</w:t>
            </w:r>
          </w:p>
        </w:tc>
        <w:tc>
          <w:tcPr>
            <w:tcW w:w="4962" w:type="dxa"/>
            <w:tcMar>
              <w:left w:w="0" w:type="dxa"/>
              <w:right w:w="0" w:type="dxa"/>
            </w:tcMar>
            <w:vAlign w:val="center"/>
          </w:tcPr>
          <w:p w:rsidR="00A53F51" w:rsidRPr="001C5E05" w:rsidRDefault="001C5E05" w:rsidP="001C5E05">
            <w:pPr>
              <w:ind w:left="57"/>
              <w:rPr>
                <w:sz w:val="28"/>
                <w:szCs w:val="28"/>
                <w:lang w:val="sr-Cyrl-CS"/>
              </w:rPr>
            </w:pPr>
            <w:r w:rsidRPr="001C5E05">
              <w:rPr>
                <w:sz w:val="28"/>
                <w:szCs w:val="28"/>
                <w:lang w:val="sr-Cyrl-CS"/>
              </w:rPr>
              <w:t>Креирање а</w:t>
            </w:r>
            <w:r w:rsidR="00A53F51" w:rsidRPr="001C5E05">
              <w:rPr>
                <w:sz w:val="28"/>
                <w:szCs w:val="28"/>
                <w:lang w:val="sr-Cyrl-CS"/>
              </w:rPr>
              <w:t>нкетн</w:t>
            </w:r>
            <w:r w:rsidRPr="001C5E05">
              <w:rPr>
                <w:sz w:val="28"/>
                <w:szCs w:val="28"/>
                <w:lang w:val="sr-Cyrl-CS"/>
              </w:rPr>
              <w:t>ог</w:t>
            </w:r>
            <w:r w:rsidR="00A53F51" w:rsidRPr="001C5E05">
              <w:rPr>
                <w:sz w:val="28"/>
                <w:szCs w:val="28"/>
                <w:lang w:val="sr-Cyrl-CS"/>
              </w:rPr>
              <w:t xml:space="preserve"> упитник</w:t>
            </w:r>
            <w:r w:rsidRPr="001C5E05">
              <w:rPr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3402" w:type="dxa"/>
          </w:tcPr>
          <w:p w:rsidR="00A53F51" w:rsidRPr="00A53F51" w:rsidRDefault="00A53F51" w:rsidP="001B41F9">
            <w:pPr>
              <w:rPr>
                <w:lang w:val="sr-Cyrl-CS"/>
              </w:rPr>
            </w:pPr>
            <w:r w:rsidRPr="00A53F51">
              <w:rPr>
                <w:lang w:val="sr-Cyrl-CS"/>
              </w:rPr>
              <w:t>По избору једне од предложених области потребно је сачиити упитник за анкетно истраживање.</w:t>
            </w:r>
          </w:p>
        </w:tc>
        <w:tc>
          <w:tcPr>
            <w:tcW w:w="1269" w:type="dxa"/>
          </w:tcPr>
          <w:p w:rsidR="00A53F51" w:rsidRPr="00A53F51" w:rsidRDefault="00A53F51" w:rsidP="001B41F9">
            <w:pPr>
              <w:rPr>
                <w:lang w:val="sr-Cyrl-CS"/>
              </w:rPr>
            </w:pPr>
            <w:r>
              <w:rPr>
                <w:lang w:val="sr-Cyrl-CS"/>
              </w:rPr>
              <w:t>10 поена</w:t>
            </w:r>
          </w:p>
        </w:tc>
      </w:tr>
      <w:tr w:rsidR="00A53F51" w:rsidTr="00DD00FE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A53F51" w:rsidRPr="0003725D" w:rsidRDefault="0003725D" w:rsidP="0003725D">
            <w:pPr>
              <w:ind w:right="57"/>
              <w:jc w:val="center"/>
              <w:rPr>
                <w:sz w:val="28"/>
                <w:szCs w:val="28"/>
              </w:rPr>
            </w:pPr>
            <w:r w:rsidRPr="0003725D">
              <w:rPr>
                <w:sz w:val="28"/>
                <w:szCs w:val="28"/>
              </w:rPr>
              <w:t>III</w:t>
            </w:r>
          </w:p>
        </w:tc>
        <w:tc>
          <w:tcPr>
            <w:tcW w:w="4962" w:type="dxa"/>
            <w:tcMar>
              <w:left w:w="0" w:type="dxa"/>
              <w:right w:w="0" w:type="dxa"/>
            </w:tcMar>
            <w:vAlign w:val="center"/>
          </w:tcPr>
          <w:p w:rsidR="00A53F51" w:rsidRPr="001C5E05" w:rsidRDefault="001C5E05" w:rsidP="001C5E05">
            <w:pPr>
              <w:ind w:left="57"/>
              <w:rPr>
                <w:sz w:val="28"/>
                <w:szCs w:val="28"/>
                <w:lang w:val="sr-Cyrl-CS"/>
              </w:rPr>
            </w:pPr>
            <w:r w:rsidRPr="001C5E05">
              <w:rPr>
                <w:sz w:val="28"/>
                <w:szCs w:val="28"/>
                <w:lang w:val="sr-Cyrl-CS"/>
              </w:rPr>
              <w:t xml:space="preserve">Критичка анализа објављених  студија  </w:t>
            </w:r>
          </w:p>
        </w:tc>
        <w:tc>
          <w:tcPr>
            <w:tcW w:w="3402" w:type="dxa"/>
          </w:tcPr>
          <w:p w:rsidR="00A53F51" w:rsidRPr="00A53F51" w:rsidRDefault="00A53F51" w:rsidP="00AA1B7E">
            <w:pPr>
              <w:rPr>
                <w:lang w:val="sr-Cyrl-CS"/>
              </w:rPr>
            </w:pPr>
            <w:r w:rsidRPr="00A53F51">
              <w:rPr>
                <w:lang w:val="sr-Cyrl-CS"/>
              </w:rPr>
              <w:t xml:space="preserve">Потребно је интерпретирати основне ставове у краћем тексту </w:t>
            </w:r>
            <w:r w:rsidR="00AA1B7E">
              <w:rPr>
                <w:lang w:val="sr-Cyrl-CS"/>
              </w:rPr>
              <w:t>од</w:t>
            </w:r>
            <w:r w:rsidRPr="00A53F51">
              <w:rPr>
                <w:lang w:val="sr-Cyrl-CS"/>
              </w:rPr>
              <w:t xml:space="preserve"> две</w:t>
            </w:r>
            <w:r w:rsidR="00AA1B7E">
              <w:rPr>
                <w:lang w:val="sr-Cyrl-CS"/>
              </w:rPr>
              <w:t xml:space="preserve"> до три</w:t>
            </w:r>
            <w:r w:rsidRPr="00A53F51">
              <w:rPr>
                <w:lang w:val="sr-Cyrl-CS"/>
              </w:rPr>
              <w:t xml:space="preserve"> стране.</w:t>
            </w:r>
            <w:r w:rsidR="00AA1B7E">
              <w:rPr>
                <w:lang w:val="sr-Cyrl-CS"/>
              </w:rPr>
              <w:t xml:space="preserve"> Понуђена је листа одабраних студија.</w:t>
            </w:r>
          </w:p>
        </w:tc>
        <w:tc>
          <w:tcPr>
            <w:tcW w:w="1269" w:type="dxa"/>
          </w:tcPr>
          <w:p w:rsidR="00A53F51" w:rsidRPr="00A53F51" w:rsidRDefault="00A53F51" w:rsidP="001B41F9">
            <w:pPr>
              <w:rPr>
                <w:lang w:val="sr-Cyrl-CS"/>
              </w:rPr>
            </w:pPr>
            <w:r w:rsidRPr="00A53F51">
              <w:rPr>
                <w:lang w:val="sr-Cyrl-CS"/>
              </w:rPr>
              <w:t>10 поена</w:t>
            </w:r>
          </w:p>
        </w:tc>
      </w:tr>
      <w:tr w:rsidR="00DD00FE" w:rsidTr="00DD00FE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Default="00DD00FE" w:rsidP="007D28FB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962" w:type="dxa"/>
            <w:tcMar>
              <w:left w:w="0" w:type="dxa"/>
              <w:right w:w="0" w:type="dxa"/>
            </w:tcMar>
            <w:vAlign w:val="center"/>
          </w:tcPr>
          <w:p w:rsidR="00DD00FE" w:rsidRPr="001C5E05" w:rsidRDefault="00DD00FE" w:rsidP="001C5E05">
            <w:pPr>
              <w:ind w:left="57"/>
              <w:rPr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</w:tbl>
    <w:p w:rsidR="00DD00FE" w:rsidRDefault="00DD00FE"/>
    <w:tbl>
      <w:tblPr>
        <w:tblStyle w:val="TableGrid"/>
        <w:tblW w:w="10049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7938"/>
        <w:gridCol w:w="426"/>
        <w:gridCol w:w="1269"/>
      </w:tblGrid>
      <w:tr w:rsidR="00DD00FE" w:rsidTr="0003725D">
        <w:tc>
          <w:tcPr>
            <w:tcW w:w="835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DD00FE" w:rsidRDefault="0003725D" w:rsidP="001C5E05">
            <w:pPr>
              <w:ind w:left="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  <w:lang w:val="sr-Cyrl-CS"/>
              </w:rPr>
              <w:t xml:space="preserve"> </w:t>
            </w:r>
            <w:r w:rsidR="00DD00FE" w:rsidRPr="00DD00FE">
              <w:rPr>
                <w:b/>
                <w:sz w:val="32"/>
                <w:szCs w:val="32"/>
                <w:lang w:val="sr-Cyrl-CS"/>
              </w:rPr>
              <w:t>Рад на предложену тему</w:t>
            </w:r>
          </w:p>
        </w:tc>
        <w:tc>
          <w:tcPr>
            <w:tcW w:w="426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DD00FE">
            <w:pPr>
              <w:ind w:left="57"/>
              <w:rPr>
                <w:sz w:val="28"/>
                <w:szCs w:val="28"/>
                <w:lang w:val="sr-Cyrl-CS"/>
              </w:rPr>
            </w:pPr>
            <w:r w:rsidRPr="0003725D">
              <w:rPr>
                <w:sz w:val="28"/>
                <w:szCs w:val="28"/>
                <w:lang w:val="sr-Cyrl-CS"/>
              </w:rPr>
              <w:t>1</w:t>
            </w:r>
            <w:r w:rsidR="0003725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DD00FE" w:rsidRDefault="00DD00FE" w:rsidP="00DD00FE">
            <w:pPr>
              <w:spacing w:before="120" w:after="120"/>
              <w:ind w:left="113"/>
              <w:rPr>
                <w:sz w:val="28"/>
                <w:szCs w:val="28"/>
                <w:lang w:val="sr-Cyrl-CS"/>
              </w:rPr>
            </w:pPr>
            <w:r w:rsidRPr="00DD00FE">
              <w:rPr>
                <w:sz w:val="28"/>
                <w:szCs w:val="28"/>
                <w:lang w:val="sr-Cyrl-CS"/>
              </w:rPr>
              <w:t>Промене у структури личне потрошње у домаћинставима у Србији у периоду 2015–2018.</w:t>
            </w:r>
          </w:p>
        </w:tc>
        <w:tc>
          <w:tcPr>
            <w:tcW w:w="426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DD00FE">
            <w:pPr>
              <w:ind w:left="57"/>
              <w:rPr>
                <w:sz w:val="28"/>
                <w:szCs w:val="28"/>
                <w:lang w:val="sr-Cyrl-CS"/>
              </w:rPr>
            </w:pPr>
            <w:r w:rsidRPr="0003725D">
              <w:rPr>
                <w:sz w:val="28"/>
                <w:szCs w:val="28"/>
                <w:lang w:val="sr-Cyrl-CS"/>
              </w:rPr>
              <w:t>2</w:t>
            </w:r>
            <w:r w:rsidR="0003725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  <w:vAlign w:val="center"/>
          </w:tcPr>
          <w:p w:rsidR="00DD00FE" w:rsidRPr="00DD00FE" w:rsidRDefault="00DD00FE" w:rsidP="00DD00FE">
            <w:pPr>
              <w:spacing w:before="120" w:after="120"/>
              <w:ind w:left="113"/>
              <w:rPr>
                <w:sz w:val="28"/>
                <w:szCs w:val="28"/>
                <w:lang w:val="sr-Cyrl-CS"/>
              </w:rPr>
            </w:pPr>
            <w:r w:rsidRPr="00DD00FE">
              <w:rPr>
                <w:sz w:val="28"/>
                <w:szCs w:val="28"/>
                <w:lang w:val="sr-Cyrl-CS"/>
              </w:rPr>
              <w:t>Одлике личне потрошње у домаћинствима у Србији у 2018. години</w:t>
            </w:r>
          </w:p>
        </w:tc>
        <w:tc>
          <w:tcPr>
            <w:tcW w:w="426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DD00FE">
            <w:pPr>
              <w:ind w:left="57"/>
              <w:rPr>
                <w:sz w:val="28"/>
                <w:szCs w:val="28"/>
                <w:lang w:val="sr-Cyrl-CS"/>
              </w:rPr>
            </w:pPr>
            <w:r w:rsidRPr="0003725D">
              <w:rPr>
                <w:sz w:val="28"/>
                <w:szCs w:val="28"/>
                <w:lang w:val="sr-Cyrl-CS"/>
              </w:rPr>
              <w:t>3</w:t>
            </w:r>
            <w:r w:rsidR="0003725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  <w:vAlign w:val="center"/>
          </w:tcPr>
          <w:p w:rsidR="00DD00FE" w:rsidRPr="00DD00FE" w:rsidRDefault="00DD00FE" w:rsidP="00DD00FE">
            <w:pPr>
              <w:spacing w:before="120" w:after="120"/>
              <w:ind w:left="113"/>
              <w:rPr>
                <w:sz w:val="28"/>
                <w:szCs w:val="28"/>
                <w:lang w:val="sr-Cyrl-CS"/>
              </w:rPr>
            </w:pPr>
            <w:r w:rsidRPr="00DD00FE">
              <w:rPr>
                <w:sz w:val="28"/>
                <w:szCs w:val="28"/>
                <w:lang w:val="sr-Cyrl-CS"/>
              </w:rPr>
              <w:t xml:space="preserve">Компаративна анализа личне потрошње у Србији с обзиром на место становања – градско подручје и остало подручје </w:t>
            </w:r>
          </w:p>
        </w:tc>
        <w:tc>
          <w:tcPr>
            <w:tcW w:w="426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DD00FE">
            <w:pPr>
              <w:ind w:left="57"/>
              <w:rPr>
                <w:sz w:val="28"/>
                <w:szCs w:val="28"/>
                <w:lang w:val="sr-Cyrl-CS"/>
              </w:rPr>
            </w:pPr>
            <w:r w:rsidRPr="0003725D">
              <w:rPr>
                <w:sz w:val="28"/>
                <w:szCs w:val="28"/>
                <w:lang w:val="sr-Cyrl-CS"/>
              </w:rPr>
              <w:t>4</w:t>
            </w:r>
            <w:r w:rsidR="0003725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  <w:vAlign w:val="center"/>
          </w:tcPr>
          <w:p w:rsidR="00DD00FE" w:rsidRPr="00DD00FE" w:rsidRDefault="00DD00FE" w:rsidP="00DD00FE">
            <w:pPr>
              <w:spacing w:before="120" w:after="120"/>
              <w:ind w:left="113"/>
              <w:rPr>
                <w:sz w:val="28"/>
                <w:szCs w:val="28"/>
                <w:lang w:val="sr-Cyrl-CS"/>
              </w:rPr>
            </w:pPr>
            <w:r w:rsidRPr="00DD00FE">
              <w:rPr>
                <w:sz w:val="28"/>
                <w:szCs w:val="28"/>
                <w:lang w:val="sr-Cyrl-CS"/>
              </w:rPr>
              <w:t>Регионалне разлике у количинама утрошених прехрамбених производа у домаћинствима у Србији</w:t>
            </w:r>
          </w:p>
        </w:tc>
        <w:tc>
          <w:tcPr>
            <w:tcW w:w="426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DD00FE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Default="00DD00FE" w:rsidP="007D28FB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1C5E05" w:rsidRDefault="00DD00FE" w:rsidP="001C5E05">
            <w:pPr>
              <w:ind w:left="57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6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Default="00DD00FE" w:rsidP="007D28FB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1C5E05">
            <w:pPr>
              <w:ind w:left="57"/>
              <w:rPr>
                <w:sz w:val="24"/>
                <w:szCs w:val="24"/>
                <w:lang w:val="sr-Cyrl-CS"/>
              </w:rPr>
            </w:pPr>
            <w:r w:rsidRPr="0003725D">
              <w:rPr>
                <w:sz w:val="24"/>
                <w:szCs w:val="24"/>
                <w:lang w:val="sr-Cyrl-CS"/>
              </w:rPr>
              <w:t>Анализа почива на подацима Републичког завода за статистику: Анкета о потрошњи домаћинстава, 2018, Београд. https://publikacije.stat.gov.rs/G2019/Pdf/G20195652.pdf</w:t>
            </w:r>
          </w:p>
        </w:tc>
        <w:tc>
          <w:tcPr>
            <w:tcW w:w="426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Default="00DD00FE" w:rsidP="007D28FB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938" w:type="dxa"/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1C5E05">
            <w:pPr>
              <w:ind w:left="57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6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  <w:tr w:rsidR="00DD00FE" w:rsidTr="0003725D">
        <w:tc>
          <w:tcPr>
            <w:tcW w:w="416" w:type="dxa"/>
            <w:tcMar>
              <w:left w:w="0" w:type="dxa"/>
              <w:right w:w="0" w:type="dxa"/>
            </w:tcMar>
            <w:vAlign w:val="center"/>
          </w:tcPr>
          <w:p w:rsidR="00DD00FE" w:rsidRDefault="00DD00FE" w:rsidP="007D28FB">
            <w:pPr>
              <w:ind w:lef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0FE" w:rsidRPr="0003725D" w:rsidRDefault="00DD00FE" w:rsidP="00345976">
            <w:pPr>
              <w:ind w:left="57"/>
              <w:rPr>
                <w:sz w:val="24"/>
                <w:szCs w:val="24"/>
                <w:lang w:val="sr-Cyrl-CS"/>
              </w:rPr>
            </w:pPr>
            <w:r w:rsidRPr="0003725D">
              <w:rPr>
                <w:sz w:val="24"/>
                <w:szCs w:val="24"/>
                <w:lang w:val="sr-Cyrl-CS"/>
              </w:rPr>
              <w:t>Студент бира једну од предлож</w:t>
            </w:r>
            <w:r w:rsidR="0003725D" w:rsidRPr="0003725D">
              <w:rPr>
                <w:sz w:val="24"/>
                <w:szCs w:val="24"/>
                <w:lang w:val="sr-Cyrl-CS"/>
              </w:rPr>
              <w:t>ених тема и пише рад у обиму од</w:t>
            </w:r>
            <w:r w:rsidRPr="0003725D">
              <w:rPr>
                <w:sz w:val="24"/>
                <w:szCs w:val="24"/>
                <w:lang w:val="sr-Cyrl-CS"/>
              </w:rPr>
              <w:t xml:space="preserve">5 до </w:t>
            </w:r>
            <w:r w:rsidR="00345976">
              <w:rPr>
                <w:sz w:val="24"/>
                <w:szCs w:val="24"/>
                <w:lang w:val="sr-Cyrl-CS"/>
              </w:rPr>
              <w:t>8</w:t>
            </w:r>
            <w:r w:rsidRPr="0003725D">
              <w:rPr>
                <w:sz w:val="24"/>
                <w:szCs w:val="24"/>
                <w:lang w:val="sr-Cyrl-CS"/>
              </w:rPr>
              <w:t xml:space="preserve"> страна. У уводном делу рада </w:t>
            </w:r>
            <w:r w:rsidR="0003725D" w:rsidRPr="0003725D">
              <w:rPr>
                <w:sz w:val="24"/>
                <w:szCs w:val="24"/>
                <w:lang w:val="sr-Cyrl-CS"/>
              </w:rPr>
              <w:t>наводи се и краћи опис анкете. Рад може да садржи и табеларне приказе и дијаграме. На крају рада потребно је у виду закључака формулисати основне резултате анализе.</w:t>
            </w:r>
          </w:p>
        </w:tc>
        <w:tc>
          <w:tcPr>
            <w:tcW w:w="426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  <w:tc>
          <w:tcPr>
            <w:tcW w:w="1269" w:type="dxa"/>
          </w:tcPr>
          <w:p w:rsidR="00DD00FE" w:rsidRPr="00A53F51" w:rsidRDefault="00DD00FE" w:rsidP="001B41F9">
            <w:pPr>
              <w:rPr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03725D" w:rsidRDefault="0002635C" w:rsidP="00AA1B7E">
      <w:pPr>
        <w:spacing w:after="0" w:line="240" w:lineRule="auto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II</w:t>
      </w:r>
      <w:r w:rsidRPr="0002635C">
        <w:rPr>
          <w:b/>
          <w:sz w:val="36"/>
          <w:szCs w:val="36"/>
          <w:lang w:val="sr-Cyrl-CS"/>
        </w:rPr>
        <w:t xml:space="preserve"> </w:t>
      </w:r>
      <w:r w:rsidR="0003725D" w:rsidRPr="0003725D">
        <w:rPr>
          <w:b/>
          <w:sz w:val="36"/>
          <w:szCs w:val="36"/>
          <w:lang w:val="sr-Cyrl-CS"/>
        </w:rPr>
        <w:t>Креирање анкетног упитника</w:t>
      </w:r>
    </w:p>
    <w:p w:rsidR="0003725D" w:rsidRPr="0002635C" w:rsidRDefault="0003725D" w:rsidP="00AA1B7E">
      <w:pPr>
        <w:pBdr>
          <w:bottom w:val="single" w:sz="4" w:space="1" w:color="auto"/>
        </w:pBdr>
        <w:spacing w:after="0" w:line="240" w:lineRule="auto"/>
        <w:rPr>
          <w:sz w:val="36"/>
          <w:szCs w:val="36"/>
          <w:lang w:val="sr-Cyrl-RS"/>
        </w:rPr>
      </w:pPr>
      <w:r w:rsidRPr="0002635C">
        <w:rPr>
          <w:sz w:val="36"/>
          <w:szCs w:val="36"/>
          <w:lang w:val="sr-Cyrl-RS"/>
        </w:rPr>
        <w:t>Предложене области истраживања:</w:t>
      </w:r>
    </w:p>
    <w:p w:rsidR="0003725D" w:rsidRPr="0002635C" w:rsidRDefault="0071748D" w:rsidP="00266BA2">
      <w:pPr>
        <w:pStyle w:val="ListParagraph"/>
        <w:numPr>
          <w:ilvl w:val="0"/>
          <w:numId w:val="1"/>
        </w:numPr>
        <w:spacing w:before="240"/>
        <w:ind w:left="714" w:hanging="357"/>
        <w:rPr>
          <w:sz w:val="36"/>
          <w:szCs w:val="36"/>
          <w:lang w:val="sr-Cyrl-RS"/>
        </w:rPr>
      </w:pPr>
      <w:r w:rsidRPr="0002635C">
        <w:rPr>
          <w:sz w:val="36"/>
          <w:szCs w:val="36"/>
          <w:lang w:val="sr-Cyrl-RS"/>
        </w:rPr>
        <w:t>Намере корисника туристичких услуга</w:t>
      </w:r>
      <w:r w:rsidR="00AA1B7E">
        <w:rPr>
          <w:sz w:val="36"/>
          <w:szCs w:val="36"/>
          <w:lang w:val="sr-Cyrl-RS"/>
        </w:rPr>
        <w:t xml:space="preserve"> у предстојећој сезони</w:t>
      </w:r>
      <w:bookmarkStart w:id="0" w:name="_GoBack"/>
      <w:bookmarkEnd w:id="0"/>
    </w:p>
    <w:p w:rsidR="0071748D" w:rsidRDefault="00266BA2" w:rsidP="00266BA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Понашање потрошача при к</w:t>
      </w:r>
      <w:r w:rsidR="0071748D" w:rsidRPr="0002635C">
        <w:rPr>
          <w:sz w:val="36"/>
          <w:szCs w:val="36"/>
          <w:lang w:val="sr-Cyrl-RS"/>
        </w:rPr>
        <w:t>уповин</w:t>
      </w:r>
      <w:r>
        <w:rPr>
          <w:sz w:val="36"/>
          <w:szCs w:val="36"/>
          <w:lang w:val="sr-Cyrl-RS"/>
        </w:rPr>
        <w:t>и</w:t>
      </w:r>
      <w:r w:rsidR="0071748D" w:rsidRPr="0002635C">
        <w:rPr>
          <w:sz w:val="36"/>
          <w:szCs w:val="36"/>
          <w:lang w:val="sr-Cyrl-RS"/>
        </w:rPr>
        <w:t xml:space="preserve"> обуће</w:t>
      </w:r>
    </w:p>
    <w:p w:rsidR="00266BA2" w:rsidRPr="0002635C" w:rsidRDefault="00266BA2" w:rsidP="00266BA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Знања, ставови и навике потрошача прехрамбених производа</w:t>
      </w:r>
    </w:p>
    <w:p w:rsidR="0071748D" w:rsidRPr="00266BA2" w:rsidRDefault="0071748D" w:rsidP="00266BA2">
      <w:pPr>
        <w:pBdr>
          <w:top w:val="single" w:sz="4" w:space="1" w:color="auto"/>
        </w:pBdr>
        <w:spacing w:before="240"/>
        <w:jc w:val="both"/>
        <w:rPr>
          <w:lang w:val="sr-Cyrl-RS"/>
        </w:rPr>
      </w:pPr>
      <w:r w:rsidRPr="00266BA2">
        <w:rPr>
          <w:lang w:val="sr-Cyrl-RS"/>
        </w:rPr>
        <w:t xml:space="preserve">При изради упитника потребно је погледати узорне упитнике и објављене студије. Обратити пажњу на </w:t>
      </w:r>
      <w:r w:rsidR="00266BA2">
        <w:rPr>
          <w:lang w:val="sr-Cyrl-RS"/>
        </w:rPr>
        <w:t xml:space="preserve">врсте питања, </w:t>
      </w:r>
      <w:r w:rsidRPr="00266BA2">
        <w:rPr>
          <w:lang w:val="sr-Cyrl-RS"/>
        </w:rPr>
        <w:t xml:space="preserve">језичку коректност при састављању питања, њихов распоред. Није нужно да сам упитник буде дизајниран као готово решење за штампу или као документ који пдразумева </w:t>
      </w:r>
      <w:r w:rsidR="00266BA2">
        <w:rPr>
          <w:lang w:val="sr-Cyrl-RS"/>
        </w:rPr>
        <w:t>телефонску анкету или ослонац на коришћење интернета.</w:t>
      </w:r>
      <w:r w:rsidRPr="00266BA2">
        <w:rPr>
          <w:lang w:val="sr-Cyrl-RS"/>
        </w:rPr>
        <w:t>Довољно је да се питања наведу у виду текстуалног документа.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62"/>
        <w:gridCol w:w="8916"/>
      </w:tblGrid>
      <w:tr w:rsidR="0071748D" w:rsidTr="00AA1B7E">
        <w:tc>
          <w:tcPr>
            <w:tcW w:w="9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48D" w:rsidRDefault="008F52B2" w:rsidP="00AA1B7E">
            <w:pPr>
              <w:pBdr>
                <w:bottom w:val="single" w:sz="4" w:space="1" w:color="auto"/>
              </w:pBdr>
              <w:spacing w:before="240" w:after="120"/>
              <w:ind w:left="-113"/>
              <w:rPr>
                <w:sz w:val="36"/>
                <w:szCs w:val="36"/>
                <w:lang w:val="sr-Cyrl-RS"/>
              </w:rPr>
            </w:pPr>
            <w:r w:rsidRPr="008F52B2">
              <w:rPr>
                <w:sz w:val="36"/>
                <w:szCs w:val="36"/>
                <w:lang w:val="sr-Cyrl-RS"/>
              </w:rPr>
              <w:t xml:space="preserve">III </w:t>
            </w:r>
            <w:r w:rsidR="0071748D" w:rsidRPr="008F52B2">
              <w:rPr>
                <w:sz w:val="36"/>
                <w:szCs w:val="36"/>
                <w:lang w:val="sr-Cyrl-RS"/>
              </w:rPr>
              <w:t xml:space="preserve">Критичка анализа објављених  студија  </w:t>
            </w:r>
          </w:p>
          <w:p w:rsidR="00765303" w:rsidRPr="00765303" w:rsidRDefault="00765303" w:rsidP="00266BA2">
            <w:pPr>
              <w:spacing w:before="240" w:after="120"/>
              <w:jc w:val="both"/>
              <w:rPr>
                <w:sz w:val="18"/>
                <w:szCs w:val="18"/>
                <w:lang w:val="sr-Cyrl-RS"/>
              </w:rPr>
            </w:pPr>
            <w:r w:rsidRPr="00731A15">
              <w:rPr>
                <w:b/>
                <w:sz w:val="24"/>
                <w:szCs w:val="24"/>
                <w:lang w:val="sr-Cyrl-BA"/>
              </w:rPr>
              <w:t>Задатак:</w:t>
            </w:r>
            <w:r w:rsidRPr="00765303">
              <w:rPr>
                <w:sz w:val="18"/>
                <w:szCs w:val="18"/>
                <w:lang w:val="sr-Cyrl-BA"/>
              </w:rPr>
              <w:t xml:space="preserve"> </w:t>
            </w:r>
            <w:r w:rsidRPr="00731A15">
              <w:rPr>
                <w:lang w:val="sr-Cyrl-BA"/>
              </w:rPr>
              <w:t xml:space="preserve">Са следеће листе доступних чланака (https://scindeks.ceon.rs) одабрати два до три чланка </w:t>
            </w:r>
            <w:r w:rsidR="00731A15">
              <w:rPr>
                <w:lang w:val="sr-Cyrl-RS"/>
              </w:rPr>
              <w:t>који се баве сличним темама</w:t>
            </w:r>
            <w:r w:rsidR="00731A15" w:rsidRPr="00731A15">
              <w:t xml:space="preserve"> </w:t>
            </w:r>
            <w:r w:rsidRPr="00731A15">
              <w:rPr>
                <w:lang w:val="sr-Cyrl-BA"/>
              </w:rPr>
              <w:t>и у компаративној анализи указати на главне доприносе аутора. Обим осврта је две</w:t>
            </w:r>
            <w:r w:rsidR="00731A15" w:rsidRPr="00731A15">
              <w:t xml:space="preserve"> </w:t>
            </w:r>
            <w:r w:rsidR="00731A15" w:rsidRPr="00731A15">
              <w:rPr>
                <w:lang w:val="sr-Cyrl-RS"/>
              </w:rPr>
              <w:t>до три стран</w:t>
            </w:r>
            <w:r w:rsidR="00731A15">
              <w:rPr>
                <w:lang w:val="sr-Cyrl-BA"/>
              </w:rPr>
              <w:t xml:space="preserve">е </w:t>
            </w:r>
            <w:r w:rsidRPr="00731A15">
              <w:rPr>
                <w:lang w:val="sr-Cyrl-BA"/>
              </w:rPr>
              <w:t xml:space="preserve">текста. Предложени чланци </w:t>
            </w:r>
            <w:r w:rsidR="00731A15" w:rsidRPr="00731A15">
              <w:rPr>
                <w:lang w:val="sr-Cyrl-BA"/>
              </w:rPr>
              <w:t>баве се темама као што су одлучив</w:t>
            </w:r>
            <w:r w:rsidRPr="00731A15">
              <w:rPr>
                <w:lang w:val="sr-Cyrl-RS"/>
              </w:rPr>
              <w:t>ање о куповини, ставови потрошача, понашање на тржишту органске хране,заштита потрошача.</w:t>
            </w:r>
            <w:r w:rsidR="00731A15">
              <w:rPr>
                <w:lang w:val="sr-Cyrl-RS"/>
              </w:rPr>
              <w:t xml:space="preserve"> </w:t>
            </w:r>
          </w:p>
        </w:tc>
      </w:tr>
      <w:tr w:rsidR="008F52B2" w:rsidTr="00AA1B7E">
        <w:tc>
          <w:tcPr>
            <w:tcW w:w="562" w:type="dxa"/>
            <w:tcBorders>
              <w:top w:val="single" w:sz="4" w:space="0" w:color="auto"/>
            </w:tcBorders>
          </w:tcPr>
          <w:p w:rsidR="008F52B2" w:rsidRDefault="0002635C" w:rsidP="0071748D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916" w:type="dxa"/>
            <w:tcBorders>
              <w:top w:val="single" w:sz="4" w:space="0" w:color="auto"/>
            </w:tcBorders>
          </w:tcPr>
          <w:p w:rsidR="008F52B2" w:rsidRDefault="008F52B2" w:rsidP="008F52B2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Hasan Hanić, Milica Bugarčić Ekonometrijska analiza uticaja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dohotka na potrošnju hrane i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bezalkoholnih pića u Srbiji</w:t>
            </w:r>
          </w:p>
          <w:p w:rsidR="00C33666" w:rsidRPr="00C33666" w:rsidRDefault="00C33666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C33666">
              <w:rPr>
                <w:sz w:val="18"/>
                <w:szCs w:val="18"/>
                <w:lang w:val="sr-Cyrl-RS"/>
              </w:rPr>
              <w:t>Hanić, H., &amp; Bugarčić, M. [2019]. Ekonometrijska analiza uticaja dohotka na potrošnju hrane i bezalkoholnih pića u Srbiji. Marketing, 50(4), 259</w:t>
            </w:r>
            <w:r w:rsidR="00266BA2">
              <w:rPr>
                <w:rFonts w:cstheme="minorHAnsi"/>
                <w:sz w:val="18"/>
                <w:szCs w:val="18"/>
                <w:lang w:val="sr-Cyrl-RS"/>
              </w:rPr>
              <w:t>‒</w:t>
            </w:r>
            <w:r w:rsidRPr="00C33666">
              <w:rPr>
                <w:sz w:val="18"/>
                <w:szCs w:val="18"/>
                <w:lang w:val="sr-Cyrl-RS"/>
              </w:rPr>
              <w:t>267.</w:t>
            </w:r>
          </w:p>
        </w:tc>
      </w:tr>
      <w:tr w:rsidR="008F52B2" w:rsidTr="00266BA2">
        <w:tc>
          <w:tcPr>
            <w:tcW w:w="562" w:type="dxa"/>
          </w:tcPr>
          <w:p w:rsidR="008F52B2" w:rsidRDefault="00C33666" w:rsidP="0071748D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916" w:type="dxa"/>
          </w:tcPr>
          <w:p w:rsidR="008F52B2" w:rsidRDefault="008F52B2" w:rsidP="008F52B2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Srđan Šapić, Jovana Savić, Jovana Filipović Izbegavanje neizvesnosti u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procesu odlučivanja o kupovini</w:t>
            </w:r>
          </w:p>
          <w:p w:rsidR="00C33666" w:rsidRPr="00C33666" w:rsidRDefault="00C33666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C33666">
              <w:rPr>
                <w:sz w:val="18"/>
                <w:szCs w:val="18"/>
                <w:lang w:val="sr-Cyrl-RS"/>
              </w:rPr>
              <w:t>Šapić, S., Savić, J., &amp; Filipović, J. [2018]. Izbegavanje neizvesnosti u procesu odlučivanja o kupovini. Marketing, 49(3), 181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C33666">
              <w:rPr>
                <w:sz w:val="18"/>
                <w:szCs w:val="18"/>
                <w:lang w:val="sr-Cyrl-RS"/>
              </w:rPr>
              <w:t>191.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Slijepčević Vanja, Matanović Jelena Povezanost vrednosti i tipova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involviranosti potrošača u proces</w:t>
            </w:r>
            <w:r>
              <w:rPr>
                <w:sz w:val="28"/>
                <w:szCs w:val="28"/>
                <w:lang w:val="sr-Cyrl-RS"/>
              </w:rPr>
              <w:t xml:space="preserve"> donošenja odluke o kupovini</w:t>
            </w:r>
          </w:p>
          <w:p w:rsidR="00C33666" w:rsidRPr="00C33666" w:rsidRDefault="00C33666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C33666">
              <w:rPr>
                <w:sz w:val="18"/>
                <w:szCs w:val="18"/>
                <w:lang w:val="sr-Cyrl-RS"/>
              </w:rPr>
              <w:t>Slijepčević, V., &amp; Matanović, J. [2015]. Povezanost vrednosti i tipova involviranosti potrošača u proces donošenja odluke o kupovini. Marketing, 46(2), 132</w:t>
            </w:r>
            <w:r w:rsidR="00266BA2">
              <w:rPr>
                <w:rFonts w:cstheme="minorHAnsi"/>
                <w:sz w:val="18"/>
                <w:szCs w:val="18"/>
                <w:lang w:val="sr-Cyrl-RS"/>
              </w:rPr>
              <w:t>‒</w:t>
            </w:r>
            <w:r w:rsidRPr="00C33666">
              <w:rPr>
                <w:sz w:val="18"/>
                <w:szCs w:val="18"/>
                <w:lang w:val="sr-Cyrl-RS"/>
              </w:rPr>
              <w:t>140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Svetlana Sokolov Mladenović, Sreten Ćuzović Kvalitet usluga u maloprodaji kao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osnova donošenja odluka o kupovini</w:t>
            </w:r>
          </w:p>
          <w:p w:rsidR="00705A39" w:rsidRPr="00705A39" w:rsidRDefault="00705A39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705A39">
              <w:rPr>
                <w:sz w:val="18"/>
                <w:szCs w:val="18"/>
                <w:lang w:val="sr-Cyrl-RS"/>
              </w:rPr>
              <w:t xml:space="preserve">Sokolov Mladenović, S. &amp; Ćuzović S. (2015). Kvalitet usluga u maloprodaji kao osnova donošenja odluka o kupovini, Marketing, </w:t>
            </w:r>
            <w:r>
              <w:rPr>
                <w:sz w:val="18"/>
                <w:szCs w:val="18"/>
                <w:lang w:val="sr-Cyrl-RS"/>
              </w:rPr>
              <w:t>vol. 46, br. 1, str. 26</w:t>
            </w:r>
            <w:r w:rsidR="00266BA2">
              <w:rPr>
                <w:rFonts w:cstheme="minorHAnsi"/>
                <w:sz w:val="18"/>
                <w:szCs w:val="18"/>
                <w:lang w:val="sr-Cyrl-RS"/>
              </w:rPr>
              <w:t>‒</w:t>
            </w:r>
            <w:r>
              <w:rPr>
                <w:sz w:val="18"/>
                <w:szCs w:val="18"/>
                <w:lang w:val="sr-Cyrl-RS"/>
              </w:rPr>
              <w:t>35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Ivana Domazet, Hasan Hanić, Ivana Simeunović Istraživanje tržišta –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Faktor uspešnog strategijskog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marketinga finansijskih organizacija</w:t>
            </w:r>
          </w:p>
          <w:p w:rsidR="00C33666" w:rsidRPr="00C33666" w:rsidRDefault="00C33666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C33666">
              <w:rPr>
                <w:sz w:val="18"/>
                <w:szCs w:val="18"/>
                <w:lang w:val="sr-Cyrl-RS"/>
              </w:rPr>
              <w:t xml:space="preserve">Domazet, </w:t>
            </w:r>
            <w:r w:rsidRPr="00C33666">
              <w:rPr>
                <w:sz w:val="18"/>
                <w:szCs w:val="18"/>
                <w:lang w:val="sr-Cyrl-RS"/>
              </w:rPr>
              <w:t>I</w:t>
            </w:r>
            <w:r w:rsidRPr="00C33666">
              <w:rPr>
                <w:sz w:val="18"/>
                <w:szCs w:val="18"/>
                <w:lang w:val="sr-Cyrl-RS"/>
              </w:rPr>
              <w:t>.</w:t>
            </w:r>
            <w:r w:rsidRPr="00C33666">
              <w:rPr>
                <w:sz w:val="18"/>
                <w:szCs w:val="18"/>
                <w:lang w:val="sr-Cyrl-RS"/>
              </w:rPr>
              <w:t xml:space="preserve"> </w:t>
            </w:r>
            <w:r w:rsidRPr="00C33666">
              <w:rPr>
                <w:sz w:val="18"/>
                <w:szCs w:val="18"/>
                <w:lang w:val="sr-Cyrl-RS"/>
              </w:rPr>
              <w:t xml:space="preserve">Hanić, H.  Simeunović, </w:t>
            </w:r>
            <w:r w:rsidRPr="00C33666">
              <w:rPr>
                <w:sz w:val="18"/>
                <w:szCs w:val="18"/>
                <w:lang w:val="sr-Cyrl-RS"/>
              </w:rPr>
              <w:t>I</w:t>
            </w:r>
            <w:r w:rsidRPr="00C33666">
              <w:rPr>
                <w:sz w:val="18"/>
                <w:szCs w:val="18"/>
                <w:lang w:val="sr-Cyrl-RS"/>
              </w:rPr>
              <w:t>. (</w:t>
            </w:r>
            <w:r w:rsidRPr="00C33666">
              <w:rPr>
                <w:sz w:val="18"/>
                <w:szCs w:val="18"/>
                <w:lang w:val="sr-Cyrl-RS"/>
              </w:rPr>
              <w:t>2013</w:t>
            </w:r>
            <w:r w:rsidRPr="00C33666">
              <w:rPr>
                <w:sz w:val="18"/>
                <w:szCs w:val="18"/>
                <w:lang w:val="sr-Cyrl-RS"/>
              </w:rPr>
              <w:t>)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C33666">
              <w:rPr>
                <w:sz w:val="18"/>
                <w:szCs w:val="18"/>
                <w:lang w:val="sr-Cyrl-RS"/>
              </w:rPr>
              <w:t xml:space="preserve"> Istraživanje tržišta – Faktor uspešnog strategijskog marketinga finansijskih organizacija, </w:t>
            </w:r>
            <w:r w:rsidRPr="00C33666">
              <w:rPr>
                <w:sz w:val="18"/>
                <w:szCs w:val="18"/>
                <w:lang w:val="sr-Cyrl-RS"/>
              </w:rPr>
              <w:t>Marketing</w:t>
            </w:r>
            <w:r w:rsidRPr="00C33666">
              <w:rPr>
                <w:sz w:val="18"/>
                <w:szCs w:val="18"/>
                <w:lang w:val="sr-Cyrl-RS"/>
              </w:rPr>
              <w:t xml:space="preserve">, </w:t>
            </w:r>
            <w:r w:rsidRPr="00C33666">
              <w:rPr>
                <w:sz w:val="18"/>
                <w:szCs w:val="18"/>
                <w:lang w:val="sr-Cyrl-RS"/>
              </w:rPr>
              <w:t>, vol. 44, br. 4, str. 310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C33666">
              <w:rPr>
                <w:sz w:val="18"/>
                <w:szCs w:val="18"/>
                <w:lang w:val="sr-Cyrl-RS"/>
              </w:rPr>
              <w:t>320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Jelena Vapa Tankosić, Hasan Hanić Uticaj percepcije potrošača o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nutritivnoj vrednosti organske hrane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8F52B2">
              <w:rPr>
                <w:sz w:val="28"/>
                <w:szCs w:val="28"/>
                <w:lang w:val="sr-Cyrl-RS"/>
              </w:rPr>
              <w:t>na spremnost da se plati viša cena</w:t>
            </w:r>
          </w:p>
          <w:p w:rsidR="00C33666" w:rsidRPr="00C33666" w:rsidRDefault="00C33666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C33666">
              <w:rPr>
                <w:sz w:val="18"/>
                <w:szCs w:val="18"/>
                <w:lang w:val="sr-Cyrl-RS"/>
              </w:rPr>
              <w:t>Vapa-Tankosić, J., &amp; Hanić, H. [2019]. Uticaj percepcije potrošača o nutritivnoj vrednosti organske hrane na spremnost da se plati viša cena. Marketing, 50(3), 186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C33666">
              <w:rPr>
                <w:sz w:val="18"/>
                <w:szCs w:val="18"/>
                <w:lang w:val="sr-Cyrl-RS"/>
              </w:rPr>
              <w:t>194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8F52B2">
              <w:rPr>
                <w:sz w:val="28"/>
                <w:szCs w:val="28"/>
                <w:lang w:val="sr-Cyrl-RS"/>
              </w:rPr>
              <w:t>Semir Vehapi Determinante razvoja tržišta organske hrane u zemljama Zapadnog Balkana</w:t>
            </w:r>
          </w:p>
          <w:p w:rsidR="00705A39" w:rsidRPr="00705A39" w:rsidRDefault="00705A39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705A39">
              <w:rPr>
                <w:sz w:val="18"/>
                <w:szCs w:val="18"/>
                <w:lang w:val="sr-Cyrl-RS"/>
              </w:rPr>
              <w:t>Vehapi, S. [2019]. Determinante razvoja tržišta organske hrane u zemljama Zapadnog Balkana. Marketing, 50(1), 43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705A39">
              <w:rPr>
                <w:sz w:val="18"/>
                <w:szCs w:val="18"/>
                <w:lang w:val="sr-Cyrl-RS"/>
              </w:rPr>
              <w:t>56.</w:t>
            </w:r>
          </w:p>
        </w:tc>
      </w:tr>
      <w:tr w:rsidR="00705A39" w:rsidTr="00266BA2">
        <w:tc>
          <w:tcPr>
            <w:tcW w:w="562" w:type="dxa"/>
          </w:tcPr>
          <w:p w:rsidR="00705A39" w:rsidRDefault="00705A39" w:rsidP="00C33666">
            <w:pPr>
              <w:spacing w:before="24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916" w:type="dxa"/>
          </w:tcPr>
          <w:p w:rsidR="00705A39" w:rsidRDefault="00705A39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705A39">
              <w:rPr>
                <w:sz w:val="28"/>
                <w:szCs w:val="28"/>
                <w:lang w:val="sr-Cyrl-RS"/>
              </w:rPr>
              <w:t>Vehapi, S</w:t>
            </w:r>
            <w:proofErr w:type="spellStart"/>
            <w:r>
              <w:rPr>
                <w:sz w:val="28"/>
                <w:szCs w:val="28"/>
              </w:rPr>
              <w:t>amir</w:t>
            </w:r>
            <w:proofErr w:type="spellEnd"/>
            <w:r w:rsidRPr="00705A39">
              <w:rPr>
                <w:sz w:val="28"/>
                <w:szCs w:val="28"/>
                <w:lang w:val="sr-Cyrl-RS"/>
              </w:rPr>
              <w:t>, Dolićanin, E</w:t>
            </w:r>
            <w:r>
              <w:rPr>
                <w:sz w:val="28"/>
                <w:szCs w:val="28"/>
              </w:rPr>
              <w:t>din,</w:t>
            </w:r>
            <w:r w:rsidRPr="00705A39">
              <w:rPr>
                <w:sz w:val="28"/>
                <w:szCs w:val="28"/>
                <w:lang w:val="sr-Cyrl-RS"/>
              </w:rPr>
              <w:t xml:space="preserve"> Ponašanje potrošača u pogledu potrošnje organske hrane </w:t>
            </w:r>
            <w:r w:rsidR="00266BA2" w:rsidRPr="00266BA2">
              <w:rPr>
                <w:sz w:val="28"/>
                <w:szCs w:val="28"/>
                <w:lang w:val="sr-Cyrl-RS"/>
              </w:rPr>
              <w:t>‒</w:t>
            </w:r>
            <w:r w:rsidRPr="00705A39">
              <w:rPr>
                <w:sz w:val="28"/>
                <w:szCs w:val="28"/>
                <w:lang w:val="sr-Cyrl-RS"/>
              </w:rPr>
              <w:t xml:space="preserve"> dokazi iz Republike Srbije.</w:t>
            </w:r>
          </w:p>
          <w:p w:rsidR="00705A39" w:rsidRPr="008F52B2" w:rsidRDefault="00705A39" w:rsidP="00266BA2">
            <w:pPr>
              <w:spacing w:before="240"/>
              <w:rPr>
                <w:sz w:val="28"/>
                <w:szCs w:val="28"/>
                <w:lang w:val="sr-Cyrl-RS"/>
              </w:rPr>
            </w:pPr>
            <w:r w:rsidRPr="00705A39">
              <w:rPr>
                <w:sz w:val="18"/>
                <w:szCs w:val="18"/>
                <w:lang w:val="sr-Cyrl-RS"/>
              </w:rPr>
              <w:t>Vehapi, S., &amp; Dolićanin, E. [2016]. Ponašanje potrošača u pogledu potrošnje organske hrane - dokazi iz Republike Srbije. Ekonomika poljoprivrede, 63(3), 871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705A39">
              <w:rPr>
                <w:sz w:val="18"/>
                <w:szCs w:val="18"/>
                <w:lang w:val="sr-Cyrl-RS"/>
              </w:rPr>
              <w:t>889</w:t>
            </w:r>
            <w:r w:rsidRPr="00705A39">
              <w:rPr>
                <w:sz w:val="28"/>
                <w:szCs w:val="28"/>
                <w:lang w:val="sr-Cyrl-RS"/>
              </w:rPr>
              <w:t>.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02635C">
              <w:rPr>
                <w:sz w:val="28"/>
                <w:szCs w:val="28"/>
                <w:lang w:val="sr-Cyrl-RS"/>
              </w:rPr>
              <w:t>Maja Ćirić, Svetlana Ignjatović Analiza komponenti stava u funkciji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2635C">
              <w:rPr>
                <w:sz w:val="28"/>
                <w:szCs w:val="28"/>
                <w:lang w:val="sr-Cyrl-RS"/>
              </w:rPr>
              <w:t>unapređenja zaštite potrošača u Srbiji</w:t>
            </w:r>
          </w:p>
          <w:p w:rsidR="00705A39" w:rsidRPr="00705A39" w:rsidRDefault="00705A39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705A39">
              <w:rPr>
                <w:sz w:val="18"/>
                <w:szCs w:val="18"/>
                <w:lang w:val="sr-Cyrl-RS"/>
              </w:rPr>
              <w:t>Ćirić, M</w:t>
            </w:r>
            <w:r w:rsidRPr="00705A39">
              <w:rPr>
                <w:sz w:val="18"/>
                <w:szCs w:val="18"/>
              </w:rPr>
              <w:t>.</w:t>
            </w:r>
            <w:r w:rsidRPr="00705A39">
              <w:rPr>
                <w:sz w:val="18"/>
                <w:szCs w:val="18"/>
                <w:lang w:val="sr-Cyrl-RS"/>
              </w:rPr>
              <w:t xml:space="preserve"> Ignjatović</w:t>
            </w:r>
            <w:r w:rsidRPr="00705A39">
              <w:rPr>
                <w:sz w:val="18"/>
                <w:szCs w:val="18"/>
              </w:rPr>
              <w:t xml:space="preserve"> </w:t>
            </w:r>
            <w:r w:rsidRPr="00705A39">
              <w:rPr>
                <w:sz w:val="18"/>
                <w:szCs w:val="18"/>
                <w:lang w:val="sr-Cyrl-RS"/>
              </w:rPr>
              <w:t>S</w:t>
            </w:r>
            <w:r w:rsidRPr="00705A39">
              <w:rPr>
                <w:sz w:val="18"/>
                <w:szCs w:val="18"/>
              </w:rPr>
              <w:t>. (2014).</w:t>
            </w:r>
            <w:r w:rsidRPr="00705A39">
              <w:rPr>
                <w:sz w:val="18"/>
                <w:szCs w:val="18"/>
                <w:lang w:val="sr-Cyrl-RS"/>
              </w:rPr>
              <w:t xml:space="preserve"> Analiza komponenti stava u funkciji unapređenja zaštite potrošača u Srbiji</w:t>
            </w:r>
            <w:r w:rsidRPr="00705A39">
              <w:rPr>
                <w:sz w:val="18"/>
                <w:szCs w:val="18"/>
                <w:lang w:val="sr-Cyrl-RS"/>
              </w:rPr>
              <w:t>Marketing</w:t>
            </w:r>
            <w:r w:rsidRPr="00705A39">
              <w:rPr>
                <w:sz w:val="18"/>
                <w:szCs w:val="18"/>
              </w:rPr>
              <w:t xml:space="preserve">, </w:t>
            </w:r>
            <w:r w:rsidRPr="00705A39">
              <w:rPr>
                <w:sz w:val="18"/>
                <w:szCs w:val="18"/>
                <w:lang w:val="sr-Cyrl-RS"/>
              </w:rPr>
              <w:t>2014, vol. 45, br. 3, str. 187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705A39">
              <w:rPr>
                <w:sz w:val="18"/>
                <w:szCs w:val="18"/>
                <w:lang w:val="sr-Cyrl-RS"/>
              </w:rPr>
              <w:t>200</w:t>
            </w:r>
          </w:p>
        </w:tc>
      </w:tr>
      <w:tr w:rsidR="00765303" w:rsidTr="00266BA2">
        <w:tc>
          <w:tcPr>
            <w:tcW w:w="562" w:type="dxa"/>
          </w:tcPr>
          <w:p w:rsidR="00765303" w:rsidRDefault="00731A15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</w:p>
        </w:tc>
        <w:tc>
          <w:tcPr>
            <w:tcW w:w="8916" w:type="dxa"/>
          </w:tcPr>
          <w:p w:rsidR="00765303" w:rsidRPr="00765303" w:rsidRDefault="00765303" w:rsidP="00765303">
            <w:pPr>
              <w:spacing w:before="240"/>
              <w:rPr>
                <w:sz w:val="28"/>
                <w:szCs w:val="28"/>
                <w:lang w:val="sr-Cyrl-RS"/>
              </w:rPr>
            </w:pPr>
            <w:r w:rsidRPr="00765303">
              <w:rPr>
                <w:sz w:val="28"/>
                <w:szCs w:val="28"/>
                <w:lang w:val="sr-Cyrl-RS"/>
              </w:rPr>
              <w:t>Srđan Šapić, Jovana Golo</w:t>
            </w:r>
            <w:r>
              <w:rPr>
                <w:sz w:val="28"/>
                <w:szCs w:val="28"/>
              </w:rPr>
              <w:t xml:space="preserve"> </w:t>
            </w:r>
            <w:r w:rsidRPr="00765303">
              <w:rPr>
                <w:sz w:val="28"/>
                <w:szCs w:val="28"/>
                <w:lang w:val="sr-Cyrl-RS"/>
              </w:rPr>
              <w:t>Uticaj dimenzija kulture na</w:t>
            </w:r>
            <w:r>
              <w:rPr>
                <w:sz w:val="28"/>
                <w:szCs w:val="28"/>
              </w:rPr>
              <w:t xml:space="preserve"> </w:t>
            </w:r>
            <w:r w:rsidRPr="00765303">
              <w:rPr>
                <w:sz w:val="28"/>
                <w:szCs w:val="28"/>
                <w:lang w:val="sr-Cyrl-RS"/>
              </w:rPr>
              <w:t>stavove i namere potrošača prema</w:t>
            </w:r>
            <w:r>
              <w:rPr>
                <w:sz w:val="28"/>
                <w:szCs w:val="28"/>
              </w:rPr>
              <w:t xml:space="preserve"> </w:t>
            </w:r>
            <w:r w:rsidRPr="00765303">
              <w:rPr>
                <w:sz w:val="28"/>
                <w:szCs w:val="28"/>
                <w:lang w:val="sr-Cyrl-RS"/>
              </w:rPr>
              <w:t>stranim i domaćim proizvodima</w:t>
            </w:r>
          </w:p>
          <w:p w:rsidR="00765303" w:rsidRPr="00765303" w:rsidRDefault="00765303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765303">
              <w:rPr>
                <w:sz w:val="18"/>
                <w:szCs w:val="18"/>
                <w:lang w:val="sr-Cyrl-RS"/>
              </w:rPr>
              <w:t>Šapić, S., &amp; Golo, J. [2017]. Uticaj dimenzija kulture na stavove i namere potrošača prema stranim i domaćim proizvodima. Marketing, 48(4), 235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765303">
              <w:rPr>
                <w:sz w:val="18"/>
                <w:szCs w:val="18"/>
                <w:lang w:val="sr-Cyrl-RS"/>
              </w:rPr>
              <w:t>242</w:t>
            </w:r>
          </w:p>
        </w:tc>
      </w:tr>
      <w:tr w:rsidR="00C33666" w:rsidTr="00266BA2">
        <w:tc>
          <w:tcPr>
            <w:tcW w:w="562" w:type="dxa"/>
          </w:tcPr>
          <w:p w:rsidR="00C33666" w:rsidRDefault="00731A15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02635C">
              <w:rPr>
                <w:sz w:val="28"/>
                <w:szCs w:val="28"/>
                <w:lang w:val="sr-Cyrl-RS"/>
              </w:rPr>
              <w:t>Momčilo Milisavljević Društvena odgovornost i efikasnost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2635C">
              <w:rPr>
                <w:sz w:val="28"/>
                <w:szCs w:val="28"/>
                <w:lang w:val="sr-Cyrl-RS"/>
              </w:rPr>
              <w:t>tržišta kao elementi zaštite potrošača</w:t>
            </w:r>
          </w:p>
          <w:p w:rsidR="008750CD" w:rsidRPr="008750CD" w:rsidRDefault="008750CD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8750CD">
              <w:rPr>
                <w:sz w:val="18"/>
                <w:szCs w:val="18"/>
                <w:lang w:val="sr-Cyrl-RS"/>
              </w:rPr>
              <w:t>Milisavljević, M. [2016]. Društvena odgovornost i efikasnost tržišta kao elementi zaštite potrošača. Marketing, 47(3), 177</w:t>
            </w:r>
            <w:r w:rsidR="00266BA2">
              <w:rPr>
                <w:rFonts w:cstheme="minorHAnsi"/>
                <w:sz w:val="18"/>
                <w:szCs w:val="18"/>
                <w:lang w:val="sr-Cyrl-RS"/>
              </w:rPr>
              <w:t>‒</w:t>
            </w:r>
            <w:r w:rsidRPr="008750CD">
              <w:rPr>
                <w:sz w:val="18"/>
                <w:szCs w:val="18"/>
                <w:lang w:val="sr-Cyrl-RS"/>
              </w:rPr>
              <w:t>180.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731A15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731A15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02635C">
              <w:rPr>
                <w:sz w:val="28"/>
                <w:szCs w:val="28"/>
                <w:lang w:val="sr-Cyrl-RS"/>
              </w:rPr>
              <w:t>Saša Veljković Zaštita potrošača u Republici Srbiji u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2635C">
              <w:rPr>
                <w:sz w:val="28"/>
                <w:szCs w:val="28"/>
                <w:lang w:val="sr-Cyrl-RS"/>
              </w:rPr>
              <w:t>procesu pridruživanja Evropskoj Uniji</w:t>
            </w:r>
          </w:p>
          <w:p w:rsidR="008750CD" w:rsidRPr="0002635C" w:rsidRDefault="008750CD" w:rsidP="00266BA2">
            <w:pPr>
              <w:spacing w:before="240"/>
              <w:rPr>
                <w:sz w:val="28"/>
                <w:szCs w:val="28"/>
                <w:lang w:val="sr-Cyrl-RS"/>
              </w:rPr>
            </w:pPr>
            <w:r w:rsidRPr="008750CD">
              <w:rPr>
                <w:sz w:val="18"/>
                <w:szCs w:val="18"/>
                <w:lang w:val="sr-Cyrl-RS"/>
              </w:rPr>
              <w:t>Veljković, S. [2013]. Zaštita potrošača u Republici Srbiji u procesu pridruživanja Evropskoj Uniji. Marketing, 44(1), 49</w:t>
            </w:r>
            <w:r w:rsidR="00266BA2">
              <w:rPr>
                <w:rFonts w:cstheme="minorHAnsi"/>
                <w:sz w:val="18"/>
                <w:szCs w:val="18"/>
                <w:lang w:val="sr-Cyrl-RS"/>
              </w:rPr>
              <w:t>‒</w:t>
            </w:r>
            <w:r w:rsidRPr="008750CD">
              <w:rPr>
                <w:sz w:val="18"/>
                <w:szCs w:val="18"/>
                <w:lang w:val="sr-Cyrl-RS"/>
              </w:rPr>
              <w:t>74.</w:t>
            </w:r>
          </w:p>
        </w:tc>
      </w:tr>
      <w:tr w:rsidR="00C33666" w:rsidTr="00266BA2">
        <w:tc>
          <w:tcPr>
            <w:tcW w:w="562" w:type="dxa"/>
          </w:tcPr>
          <w:p w:rsidR="00C33666" w:rsidRDefault="00C33666" w:rsidP="00731A15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731A15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8916" w:type="dxa"/>
          </w:tcPr>
          <w:p w:rsidR="00C33666" w:rsidRDefault="00C33666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02635C">
              <w:rPr>
                <w:sz w:val="28"/>
                <w:szCs w:val="28"/>
                <w:lang w:val="sr-Cyrl-RS"/>
              </w:rPr>
              <w:t>Ines Đokić Percipirani uticaj medija na ponašanje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2635C">
              <w:rPr>
                <w:sz w:val="28"/>
                <w:szCs w:val="28"/>
                <w:lang w:val="sr-Cyrl-RS"/>
              </w:rPr>
              <w:t>potrošača prehrambenih proizvoda</w:t>
            </w:r>
          </w:p>
          <w:p w:rsidR="008750CD" w:rsidRPr="008750CD" w:rsidRDefault="008750CD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8750CD">
              <w:rPr>
                <w:sz w:val="18"/>
                <w:szCs w:val="18"/>
                <w:lang w:val="sr-Cyrl-RS"/>
              </w:rPr>
              <w:t>Đokić, I. [2017]. Percipirani uticaj medija na ponašanje potrošača prehrambenih proizvoda. Marketing, 48(1), 20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8750CD">
              <w:rPr>
                <w:sz w:val="18"/>
                <w:szCs w:val="18"/>
                <w:lang w:val="sr-Cyrl-RS"/>
              </w:rPr>
              <w:t>29.</w:t>
            </w:r>
          </w:p>
        </w:tc>
      </w:tr>
      <w:tr w:rsidR="00731A15" w:rsidTr="00266BA2">
        <w:tc>
          <w:tcPr>
            <w:tcW w:w="562" w:type="dxa"/>
          </w:tcPr>
          <w:p w:rsidR="00731A15" w:rsidRPr="00731A15" w:rsidRDefault="00731A15" w:rsidP="00731A15">
            <w:pPr>
              <w:spacing w:before="24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8916" w:type="dxa"/>
          </w:tcPr>
          <w:p w:rsidR="00731A15" w:rsidRPr="00731A15" w:rsidRDefault="00731A15" w:rsidP="00C33666">
            <w:pPr>
              <w:spacing w:before="240"/>
              <w:rPr>
                <w:sz w:val="28"/>
                <w:szCs w:val="28"/>
                <w:lang w:val="sr-Cyrl-RS"/>
              </w:rPr>
            </w:pPr>
            <w:r w:rsidRPr="00731A15">
              <w:rPr>
                <w:sz w:val="28"/>
                <w:szCs w:val="28"/>
                <w:lang w:val="sr-Cyrl-RS"/>
              </w:rPr>
              <w:t>Ranđelović, D</w:t>
            </w:r>
            <w:proofErr w:type="spellStart"/>
            <w:r>
              <w:rPr>
                <w:sz w:val="28"/>
                <w:szCs w:val="28"/>
              </w:rPr>
              <w:t>ragana</w:t>
            </w:r>
            <w:proofErr w:type="spellEnd"/>
            <w:r w:rsidRPr="00731A15">
              <w:rPr>
                <w:sz w:val="28"/>
                <w:szCs w:val="28"/>
                <w:lang w:val="sr-Cyrl-RS"/>
              </w:rPr>
              <w:t>, Ljajić, S</w:t>
            </w:r>
            <w:r>
              <w:rPr>
                <w:sz w:val="28"/>
                <w:szCs w:val="28"/>
                <w:lang w:val="sr-Cyrl-RS"/>
              </w:rPr>
              <w:t>а</w:t>
            </w:r>
            <w:r>
              <w:rPr>
                <w:sz w:val="28"/>
                <w:szCs w:val="28"/>
              </w:rPr>
              <w:t>mir,</w:t>
            </w:r>
            <w:r w:rsidRPr="00731A15">
              <w:rPr>
                <w:sz w:val="28"/>
                <w:szCs w:val="28"/>
                <w:lang w:val="sr-Cyrl-RS"/>
              </w:rPr>
              <w:t xml:space="preserve">  Zaštita potrošača u internet prodaji </w:t>
            </w:r>
            <w:r w:rsidR="00266BA2" w:rsidRPr="00266BA2">
              <w:rPr>
                <w:sz w:val="28"/>
                <w:szCs w:val="28"/>
                <w:lang w:val="sr-Cyrl-RS"/>
              </w:rPr>
              <w:t>‒</w:t>
            </w:r>
            <w:r w:rsidRPr="00731A15">
              <w:rPr>
                <w:sz w:val="28"/>
                <w:szCs w:val="28"/>
                <w:lang w:val="sr-Cyrl-RS"/>
              </w:rPr>
              <w:t xml:space="preserve"> stepen harmonizacije sa pravom Evropske unije.</w:t>
            </w:r>
          </w:p>
          <w:p w:rsidR="00731A15" w:rsidRPr="00731A15" w:rsidRDefault="00731A15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731A15">
              <w:rPr>
                <w:sz w:val="18"/>
                <w:szCs w:val="18"/>
                <w:lang w:val="sr-Cyrl-RS"/>
              </w:rPr>
              <w:t>Ranđelović, D., &amp; Ljajić, S. [2017]. Zaštita potrošača u internet prodaji - stepen harmonizacije sa pravom Evropske unije. The European Journal of Applied Economics, 14(2), 1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731A15">
              <w:rPr>
                <w:sz w:val="18"/>
                <w:szCs w:val="18"/>
                <w:lang w:val="sr-Cyrl-RS"/>
              </w:rPr>
              <w:t>18.</w:t>
            </w:r>
          </w:p>
        </w:tc>
      </w:tr>
      <w:tr w:rsidR="00731A15" w:rsidTr="00266BA2">
        <w:tc>
          <w:tcPr>
            <w:tcW w:w="562" w:type="dxa"/>
          </w:tcPr>
          <w:p w:rsidR="00731A15" w:rsidRPr="00266BA2" w:rsidRDefault="00266BA2" w:rsidP="00C3366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16" w:type="dxa"/>
          </w:tcPr>
          <w:p w:rsidR="00266BA2" w:rsidRPr="00266BA2" w:rsidRDefault="00266BA2" w:rsidP="00C33666">
            <w:pPr>
              <w:spacing w:before="240"/>
              <w:rPr>
                <w:sz w:val="28"/>
                <w:szCs w:val="28"/>
              </w:rPr>
            </w:pPr>
            <w:r w:rsidRPr="00266BA2">
              <w:rPr>
                <w:sz w:val="28"/>
                <w:szCs w:val="28"/>
                <w:lang w:val="sr-Cyrl-RS"/>
              </w:rPr>
              <w:t>Petković, G</w:t>
            </w:r>
            <w:r>
              <w:rPr>
                <w:sz w:val="28"/>
                <w:szCs w:val="28"/>
              </w:rPr>
              <w:t>oran</w:t>
            </w:r>
            <w:r w:rsidRPr="00266BA2">
              <w:rPr>
                <w:sz w:val="28"/>
                <w:szCs w:val="28"/>
                <w:lang w:val="sr-Cyrl-RS"/>
              </w:rPr>
              <w:t>, Lovreta, S</w:t>
            </w:r>
            <w:r>
              <w:rPr>
                <w:sz w:val="28"/>
                <w:szCs w:val="28"/>
              </w:rPr>
              <w:t>tipe</w:t>
            </w:r>
            <w:r w:rsidRPr="00266BA2">
              <w:rPr>
                <w:sz w:val="28"/>
                <w:szCs w:val="28"/>
                <w:lang w:val="sr-Cyrl-RS"/>
              </w:rPr>
              <w:t xml:space="preserve">, </w:t>
            </w:r>
            <w:r>
              <w:rPr>
                <w:sz w:val="28"/>
                <w:szCs w:val="28"/>
              </w:rPr>
              <w:t>i</w:t>
            </w:r>
            <w:r w:rsidRPr="00266BA2">
              <w:rPr>
                <w:sz w:val="28"/>
                <w:szCs w:val="28"/>
                <w:lang w:val="sr-Cyrl-RS"/>
              </w:rPr>
              <w:t xml:space="preserve"> Pindžo, R</w:t>
            </w:r>
            <w:proofErr w:type="spellStart"/>
            <w:r>
              <w:rPr>
                <w:sz w:val="28"/>
                <w:szCs w:val="28"/>
              </w:rPr>
              <w:t>enata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66BA2">
              <w:rPr>
                <w:sz w:val="28"/>
                <w:szCs w:val="28"/>
                <w:lang w:val="sr-Cyrl-RS"/>
              </w:rPr>
              <w:t xml:space="preserve"> Politika zaštite potrošača u Srbiji u oblastima turizma i trgovine. </w:t>
            </w:r>
          </w:p>
          <w:p w:rsidR="00731A15" w:rsidRPr="00266BA2" w:rsidRDefault="00731A15" w:rsidP="00266BA2">
            <w:pPr>
              <w:spacing w:before="240"/>
              <w:rPr>
                <w:sz w:val="18"/>
                <w:szCs w:val="18"/>
                <w:lang w:val="sr-Cyrl-RS"/>
              </w:rPr>
            </w:pPr>
            <w:r w:rsidRPr="00266BA2">
              <w:rPr>
                <w:sz w:val="18"/>
                <w:szCs w:val="18"/>
                <w:lang w:val="sr-Cyrl-RS"/>
              </w:rPr>
              <w:t>Petković, G., Lovreta, S., &amp; Pindžo, R. [2014]. Politika zaštite potrošača u Srbiji u oblastima turizma i trgovine. Ekonomika preduzeća, 62(1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266BA2">
              <w:rPr>
                <w:sz w:val="18"/>
                <w:szCs w:val="18"/>
                <w:lang w:val="sr-Cyrl-RS"/>
              </w:rPr>
              <w:t>2), 135</w:t>
            </w:r>
            <w:r w:rsidR="00266BA2" w:rsidRPr="00266BA2">
              <w:rPr>
                <w:sz w:val="18"/>
                <w:szCs w:val="18"/>
                <w:lang w:val="sr-Cyrl-RS"/>
              </w:rPr>
              <w:t>‒</w:t>
            </w:r>
            <w:r w:rsidRPr="00266BA2">
              <w:rPr>
                <w:sz w:val="18"/>
                <w:szCs w:val="18"/>
                <w:lang w:val="sr-Cyrl-RS"/>
              </w:rPr>
              <w:t>148.</w:t>
            </w:r>
          </w:p>
        </w:tc>
      </w:tr>
    </w:tbl>
    <w:p w:rsidR="008F52B2" w:rsidRDefault="008F52B2" w:rsidP="0002635C">
      <w:pPr>
        <w:spacing w:before="240"/>
        <w:rPr>
          <w:sz w:val="28"/>
          <w:szCs w:val="28"/>
          <w:lang w:val="sr-Cyrl-RS"/>
        </w:rPr>
      </w:pPr>
    </w:p>
    <w:p w:rsidR="00765303" w:rsidRPr="0071748D" w:rsidRDefault="00765303" w:rsidP="0002635C">
      <w:pPr>
        <w:spacing w:before="240"/>
        <w:rPr>
          <w:sz w:val="28"/>
          <w:szCs w:val="28"/>
          <w:lang w:val="sr-Cyrl-R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4D45"/>
    <w:multiLevelType w:val="hybridMultilevel"/>
    <w:tmpl w:val="8A848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2635C"/>
    <w:rsid w:val="0003725D"/>
    <w:rsid w:val="0017481F"/>
    <w:rsid w:val="001B41F9"/>
    <w:rsid w:val="001C5E05"/>
    <w:rsid w:val="0021275B"/>
    <w:rsid w:val="002551B6"/>
    <w:rsid w:val="00266BA2"/>
    <w:rsid w:val="00345976"/>
    <w:rsid w:val="00437CF3"/>
    <w:rsid w:val="00575812"/>
    <w:rsid w:val="00705A39"/>
    <w:rsid w:val="0071748D"/>
    <w:rsid w:val="00731A15"/>
    <w:rsid w:val="00765303"/>
    <w:rsid w:val="007D0B74"/>
    <w:rsid w:val="007D28FB"/>
    <w:rsid w:val="008750CD"/>
    <w:rsid w:val="008F52B2"/>
    <w:rsid w:val="009A2252"/>
    <w:rsid w:val="009E399D"/>
    <w:rsid w:val="00A53F51"/>
    <w:rsid w:val="00AA1B7E"/>
    <w:rsid w:val="00AA77CD"/>
    <w:rsid w:val="00BC4C4C"/>
    <w:rsid w:val="00BF0056"/>
    <w:rsid w:val="00C33666"/>
    <w:rsid w:val="00D11975"/>
    <w:rsid w:val="00DD00FE"/>
    <w:rsid w:val="00E64FB3"/>
    <w:rsid w:val="00E87CBF"/>
    <w:rsid w:val="00ED32B0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2020-04-29T01:57:00Z</dcterms:created>
  <dcterms:modified xsi:type="dcterms:W3CDTF">2020-04-29T12:39:00Z</dcterms:modified>
</cp:coreProperties>
</file>