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5B" w:rsidRDefault="00DF41F9" w:rsidP="00211F5B">
      <w:pPr>
        <w:spacing w:after="0"/>
        <w:rPr>
          <w:lang w:val="sr-Latn-CS"/>
        </w:rPr>
      </w:pPr>
      <w:r>
        <w:rPr>
          <w:lang w:val="sr-Latn-CS"/>
        </w:rPr>
        <w:t xml:space="preserve">Verzija </w:t>
      </w:r>
      <w:r w:rsidR="00211F5B">
        <w:rPr>
          <w:lang w:val="sr-Latn-CS"/>
        </w:rPr>
        <w:t>24.11.2017.</w:t>
      </w:r>
    </w:p>
    <w:p w:rsidR="00F9436D" w:rsidRPr="00E91EEC" w:rsidRDefault="00F9436D" w:rsidP="002542F1">
      <w:pPr>
        <w:spacing w:after="0"/>
        <w:jc w:val="right"/>
        <w:rPr>
          <w:lang w:val="sr-Latn-CS"/>
        </w:rPr>
      </w:pPr>
      <w:r w:rsidRPr="00E91EEC">
        <w:rPr>
          <w:lang w:val="sr-Latn-CS"/>
        </w:rPr>
        <w:t>Više suza je proliveno nad uslišenim molitvama, nego nad neuslišenim</w:t>
      </w:r>
      <w:r w:rsidR="001020D7">
        <w:rPr>
          <w:lang w:val="sr-Latn-CS"/>
        </w:rPr>
        <w:t>.</w:t>
      </w:r>
    </w:p>
    <w:p w:rsidR="00F9436D" w:rsidRPr="00E91EEC" w:rsidRDefault="00F9436D" w:rsidP="002542F1">
      <w:pPr>
        <w:spacing w:after="0"/>
        <w:jc w:val="right"/>
        <w:rPr>
          <w:i/>
          <w:lang w:val="sr-Latn-CS"/>
        </w:rPr>
      </w:pPr>
      <w:r w:rsidRPr="00E91EEC">
        <w:rPr>
          <w:i/>
          <w:lang w:val="sr-Latn-CS"/>
        </w:rPr>
        <w:t>Sveta Tereza iz Avile</w:t>
      </w:r>
    </w:p>
    <w:p w:rsidR="002542F1" w:rsidRPr="00E91EEC" w:rsidRDefault="002542F1" w:rsidP="002542F1">
      <w:pPr>
        <w:spacing w:after="0" w:line="240" w:lineRule="auto"/>
        <w:jc w:val="center"/>
        <w:rPr>
          <w:lang w:val="sr-Latn-CS"/>
        </w:rPr>
      </w:pPr>
    </w:p>
    <w:p w:rsidR="002C7A45" w:rsidRPr="00E91EEC" w:rsidRDefault="002C7A45" w:rsidP="002542F1">
      <w:pPr>
        <w:spacing w:after="0" w:line="240" w:lineRule="auto"/>
        <w:jc w:val="center"/>
        <w:rPr>
          <w:lang w:val="sr-Latn-CS"/>
        </w:rPr>
      </w:pPr>
    </w:p>
    <w:p w:rsidR="002C7A45" w:rsidRPr="00E91EEC" w:rsidRDefault="002C7A45" w:rsidP="002542F1">
      <w:pPr>
        <w:spacing w:after="0" w:line="240" w:lineRule="auto"/>
        <w:jc w:val="center"/>
        <w:rPr>
          <w:lang w:val="sr-Latn-CS"/>
        </w:rPr>
      </w:pPr>
    </w:p>
    <w:p w:rsidR="00F9436D" w:rsidRPr="00E91EEC" w:rsidRDefault="00153DC6" w:rsidP="002542F1">
      <w:pPr>
        <w:spacing w:after="0" w:line="240" w:lineRule="auto"/>
        <w:jc w:val="center"/>
        <w:rPr>
          <w:b/>
          <w:lang w:val="sr-Latn-CS"/>
        </w:rPr>
      </w:pPr>
      <w:r w:rsidRPr="00E91EEC">
        <w:rPr>
          <w:b/>
          <w:lang w:val="sr-Latn-CS"/>
        </w:rPr>
        <w:t xml:space="preserve">Dr </w:t>
      </w:r>
      <w:r w:rsidR="002542F1" w:rsidRPr="00E91EEC">
        <w:rPr>
          <w:b/>
          <w:lang w:val="sr-Latn-CS"/>
        </w:rPr>
        <w:t>Jelena Damnjanović</w:t>
      </w:r>
    </w:p>
    <w:p w:rsidR="002542F1" w:rsidRPr="00E91EEC" w:rsidRDefault="002542F1" w:rsidP="002542F1">
      <w:pPr>
        <w:spacing w:after="0" w:line="240" w:lineRule="auto"/>
        <w:jc w:val="center"/>
        <w:rPr>
          <w:lang w:val="sr-Latn-CS"/>
        </w:rPr>
      </w:pPr>
      <w:r w:rsidRPr="00E91EEC">
        <w:rPr>
          <w:lang w:val="sr-Latn-CS"/>
        </w:rPr>
        <w:t>Visoka poslovna škola strukovnih studija, Novi Sad</w:t>
      </w:r>
    </w:p>
    <w:p w:rsidR="002542F1" w:rsidRPr="00E91EEC" w:rsidRDefault="002542F1" w:rsidP="002542F1">
      <w:pPr>
        <w:spacing w:after="0" w:line="240" w:lineRule="auto"/>
        <w:jc w:val="center"/>
        <w:rPr>
          <w:lang w:val="sr-Latn-CS"/>
        </w:rPr>
      </w:pPr>
    </w:p>
    <w:p w:rsidR="002542F1" w:rsidRPr="00E91EEC" w:rsidRDefault="00153DC6" w:rsidP="002542F1">
      <w:pPr>
        <w:spacing w:after="0" w:line="240" w:lineRule="auto"/>
        <w:jc w:val="center"/>
        <w:rPr>
          <w:b/>
          <w:lang w:val="sr-Latn-CS"/>
        </w:rPr>
      </w:pPr>
      <w:r w:rsidRPr="00E91EEC">
        <w:rPr>
          <w:b/>
          <w:lang w:val="sr-Latn-CS"/>
        </w:rPr>
        <w:t xml:space="preserve">Dr </w:t>
      </w:r>
      <w:r w:rsidR="002542F1" w:rsidRPr="00E91EEC">
        <w:rPr>
          <w:b/>
          <w:lang w:val="sr-Latn-CS"/>
        </w:rPr>
        <w:t>Jovan Njegić</w:t>
      </w:r>
    </w:p>
    <w:p w:rsidR="002542F1" w:rsidRPr="00E91EEC" w:rsidRDefault="002542F1" w:rsidP="002542F1">
      <w:pPr>
        <w:spacing w:after="0" w:line="240" w:lineRule="auto"/>
        <w:jc w:val="center"/>
        <w:rPr>
          <w:lang w:val="sr-Latn-CS"/>
        </w:rPr>
      </w:pPr>
      <w:r w:rsidRPr="00E91EEC">
        <w:rPr>
          <w:lang w:val="sr-Latn-CS"/>
        </w:rPr>
        <w:t>Visoka poslovna škola strukovnih studija, Novi Sad</w:t>
      </w:r>
    </w:p>
    <w:p w:rsidR="002542F1" w:rsidRPr="00E91EEC" w:rsidRDefault="002542F1" w:rsidP="002542F1">
      <w:pPr>
        <w:spacing w:after="0" w:line="240" w:lineRule="auto"/>
        <w:jc w:val="center"/>
        <w:rPr>
          <w:lang w:val="sr-Latn-CS"/>
        </w:rPr>
      </w:pPr>
    </w:p>
    <w:p w:rsidR="002542F1" w:rsidRPr="00E91EEC" w:rsidRDefault="00153DC6" w:rsidP="002542F1">
      <w:pPr>
        <w:spacing w:after="0" w:line="240" w:lineRule="auto"/>
        <w:jc w:val="center"/>
        <w:rPr>
          <w:b/>
          <w:lang w:val="sr-Latn-CS"/>
        </w:rPr>
      </w:pPr>
      <w:r w:rsidRPr="00E91EEC">
        <w:rPr>
          <w:b/>
          <w:lang w:val="sr-Latn-CS"/>
        </w:rPr>
        <w:t xml:space="preserve">Dr </w:t>
      </w:r>
      <w:r w:rsidR="002542F1" w:rsidRPr="00E91EEC">
        <w:rPr>
          <w:b/>
          <w:lang w:val="sr-Latn-CS"/>
        </w:rPr>
        <w:t>Miroslav N. Jovanović</w:t>
      </w:r>
    </w:p>
    <w:p w:rsidR="002542F1" w:rsidRPr="00E91EEC" w:rsidRDefault="002542F1" w:rsidP="002542F1">
      <w:pPr>
        <w:spacing w:after="0" w:line="240" w:lineRule="auto"/>
        <w:jc w:val="center"/>
        <w:rPr>
          <w:lang w:val="sr-Latn-CS"/>
        </w:rPr>
      </w:pPr>
      <w:r w:rsidRPr="00E91EEC">
        <w:rPr>
          <w:lang w:val="sr-Latn-CS"/>
        </w:rPr>
        <w:t>Institut za globalne studije, Univerzitet u Ženevi</w:t>
      </w:r>
    </w:p>
    <w:p w:rsidR="002542F1" w:rsidRPr="00E91EEC" w:rsidRDefault="002542F1" w:rsidP="002542F1">
      <w:pPr>
        <w:jc w:val="center"/>
        <w:rPr>
          <w:lang w:val="sr-Latn-CS"/>
        </w:rPr>
      </w:pPr>
    </w:p>
    <w:p w:rsidR="00F9436D" w:rsidRPr="00E91EEC" w:rsidRDefault="00F9436D" w:rsidP="002542F1">
      <w:pPr>
        <w:jc w:val="center"/>
        <w:rPr>
          <w:b/>
          <w:sz w:val="28"/>
          <w:szCs w:val="28"/>
          <w:lang w:val="sr-Latn-CS"/>
        </w:rPr>
      </w:pPr>
      <w:r w:rsidRPr="00E91EEC">
        <w:rPr>
          <w:b/>
          <w:sz w:val="28"/>
          <w:szCs w:val="28"/>
          <w:lang w:val="sr-Latn-CS"/>
        </w:rPr>
        <w:t>Šta su zemlje centralne i istočne Evrope dobile, a šta izgubile ulaskom u Evropsku uniju?</w:t>
      </w:r>
      <w:r w:rsidR="00B7399B" w:rsidRPr="00E91EEC">
        <w:rPr>
          <w:rStyle w:val="FootnoteReference"/>
          <w:lang w:val="sr-Latn-CS"/>
        </w:rPr>
        <w:footnoteReference w:id="2"/>
      </w:r>
    </w:p>
    <w:p w:rsidR="002542F1" w:rsidRPr="00E91EEC" w:rsidRDefault="002542F1" w:rsidP="00F9436D">
      <w:pPr>
        <w:rPr>
          <w:b/>
          <w:lang w:val="sr-Latn-CS"/>
        </w:rPr>
      </w:pPr>
    </w:p>
    <w:p w:rsidR="002542F1" w:rsidRPr="00E91EEC" w:rsidRDefault="002542F1" w:rsidP="00F9436D">
      <w:pPr>
        <w:rPr>
          <w:b/>
          <w:lang w:val="sr-Latn-CS"/>
        </w:rPr>
      </w:pPr>
    </w:p>
    <w:p w:rsidR="000B4094" w:rsidRPr="00E91EEC" w:rsidRDefault="004F3BBE" w:rsidP="00E95ED2">
      <w:pPr>
        <w:jc w:val="both"/>
        <w:rPr>
          <w:lang w:val="sr-Latn-CS"/>
        </w:rPr>
      </w:pPr>
      <w:r w:rsidRPr="00E91EEC">
        <w:rPr>
          <w:b/>
          <w:lang w:val="sr-Latn-CS"/>
        </w:rPr>
        <w:t>Sažetak:</w:t>
      </w:r>
      <w:r w:rsidRPr="00E91EEC">
        <w:rPr>
          <w:lang w:val="sr-Latn-CS"/>
        </w:rPr>
        <w:t xml:space="preserve"> Jedna od najuspešnijih politika </w:t>
      </w:r>
      <w:r w:rsidR="002542F1" w:rsidRPr="00E91EEC">
        <w:rPr>
          <w:lang w:val="sr-Latn-CS"/>
        </w:rPr>
        <w:t>Evropske unije (</w:t>
      </w:r>
      <w:r w:rsidRPr="00E91EEC">
        <w:rPr>
          <w:lang w:val="sr-Latn-CS"/>
        </w:rPr>
        <w:t>EU</w:t>
      </w:r>
      <w:r w:rsidR="002542F1" w:rsidRPr="00E91EEC">
        <w:rPr>
          <w:lang w:val="sr-Latn-CS"/>
        </w:rPr>
        <w:t>)</w:t>
      </w:r>
      <w:r w:rsidRPr="00E91EEC">
        <w:rPr>
          <w:lang w:val="sr-Latn-CS"/>
        </w:rPr>
        <w:t xml:space="preserve"> bila je politika proširenja, što se može</w:t>
      </w:r>
      <w:r w:rsidR="004D7CBB" w:rsidRPr="00E91EEC">
        <w:rPr>
          <w:lang w:val="sr-Latn-CS"/>
        </w:rPr>
        <w:t xml:space="preserve"> zaključiti</w:t>
      </w:r>
      <w:r w:rsidRPr="00E91EEC">
        <w:rPr>
          <w:lang w:val="sr-Latn-CS"/>
        </w:rPr>
        <w:t xml:space="preserve"> na osnovu porasta broja članica EU. Posmatra</w:t>
      </w:r>
      <w:r w:rsidR="00C27CA4" w:rsidRPr="00E91EEC">
        <w:rPr>
          <w:lang w:val="sr-Latn-CS"/>
        </w:rPr>
        <w:t>njem</w:t>
      </w:r>
      <w:r w:rsidRPr="00E91EEC">
        <w:rPr>
          <w:lang w:val="sr-Latn-CS"/>
        </w:rPr>
        <w:t xml:space="preserve"> podat</w:t>
      </w:r>
      <w:r w:rsidR="00C27CA4" w:rsidRPr="00E91EEC">
        <w:rPr>
          <w:lang w:val="sr-Latn-CS"/>
        </w:rPr>
        <w:t>aka</w:t>
      </w:r>
      <w:r w:rsidRPr="00E91EEC">
        <w:rPr>
          <w:lang w:val="sr-Latn-CS"/>
        </w:rPr>
        <w:t xml:space="preserve"> u periodu 2000-2016</w:t>
      </w:r>
      <w:r w:rsidR="000661E6" w:rsidRPr="00E91EEC">
        <w:rPr>
          <w:lang w:val="sr-Latn-CS"/>
        </w:rPr>
        <w:t>.</w:t>
      </w:r>
      <w:r w:rsidRPr="00E91EEC">
        <w:rPr>
          <w:lang w:val="sr-Latn-CS"/>
        </w:rPr>
        <w:t xml:space="preserve"> godine zapaža se ekonomski rast, porast trgovinskih transakcija i povećanje stranih direktnih investic</w:t>
      </w:r>
      <w:r w:rsidR="00C27CA4" w:rsidRPr="00E91EEC">
        <w:rPr>
          <w:lang w:val="sr-Latn-CS"/>
        </w:rPr>
        <w:t>ija u istočnom delu EU što predstavlja očigledne prednosti priključivanja Evropskoj Uniji. Međutim, ovi ishodi postignuti su</w:t>
      </w:r>
      <w:r w:rsidR="002542F1" w:rsidRPr="00E91EEC">
        <w:rPr>
          <w:lang w:val="sr-Latn-CS"/>
        </w:rPr>
        <w:t xml:space="preserve"> vrtoglavim</w:t>
      </w:r>
      <w:r w:rsidR="00C27CA4" w:rsidRPr="00E91EEC">
        <w:rPr>
          <w:lang w:val="sr-Latn-CS"/>
        </w:rPr>
        <w:t xml:space="preserve"> zaduživanjem koje će buduće generacije morati da otplaćuju. Stoga, negativne strane ulaska u EU ogledaju se u velikom državnom dugu, nepovoljnom demografskom razvoju, neizvesnoj budućnosti evro-zone i EU u celini, problemima vezanim za napuštanje Velike Britanije što </w:t>
      </w:r>
      <w:r w:rsidR="002542F1" w:rsidRPr="00E91EEC">
        <w:rPr>
          <w:lang w:val="sr-Latn-CS"/>
        </w:rPr>
        <w:t xml:space="preserve">će </w:t>
      </w:r>
      <w:r w:rsidR="00C27CA4" w:rsidRPr="00E91EEC">
        <w:rPr>
          <w:lang w:val="sr-Latn-CS"/>
        </w:rPr>
        <w:t xml:space="preserve">za posledicu </w:t>
      </w:r>
      <w:r w:rsidR="002542F1" w:rsidRPr="00E91EEC">
        <w:rPr>
          <w:lang w:val="sr-Latn-CS"/>
        </w:rPr>
        <w:t xml:space="preserve">da </w:t>
      </w:r>
      <w:r w:rsidR="00C27CA4" w:rsidRPr="00E91EEC">
        <w:rPr>
          <w:lang w:val="sr-Latn-CS"/>
        </w:rPr>
        <w:t xml:space="preserve">ima </w:t>
      </w:r>
      <w:r w:rsidR="002542F1" w:rsidRPr="00E91EEC">
        <w:rPr>
          <w:lang w:val="sr-Latn-CS"/>
        </w:rPr>
        <w:t>s</w:t>
      </w:r>
      <w:r w:rsidR="00C27CA4" w:rsidRPr="00E91EEC">
        <w:rPr>
          <w:lang w:val="sr-Latn-CS"/>
        </w:rPr>
        <w:t>manje</w:t>
      </w:r>
      <w:r w:rsidR="002542F1" w:rsidRPr="00E91EEC">
        <w:rPr>
          <w:lang w:val="sr-Latn-CS"/>
        </w:rPr>
        <w:t>nje</w:t>
      </w:r>
      <w:r w:rsidR="00C27CA4" w:rsidRPr="00E91EEC">
        <w:rPr>
          <w:lang w:val="sr-Latn-CS"/>
        </w:rPr>
        <w:t xml:space="preserve"> sredstava</w:t>
      </w:r>
      <w:r w:rsidR="000661E6" w:rsidRPr="00E91EEC">
        <w:rPr>
          <w:lang w:val="sr-Latn-CS"/>
        </w:rPr>
        <w:t xml:space="preserve"> </w:t>
      </w:r>
      <w:r w:rsidR="002542F1" w:rsidRPr="00E91EEC">
        <w:rPr>
          <w:lang w:val="sr-Latn-CS"/>
        </w:rPr>
        <w:t>u</w:t>
      </w:r>
      <w:r w:rsidR="000661E6" w:rsidRPr="00E91EEC">
        <w:rPr>
          <w:lang w:val="sr-Latn-CS"/>
        </w:rPr>
        <w:t xml:space="preserve"> budžet</w:t>
      </w:r>
      <w:r w:rsidR="002542F1" w:rsidRPr="00E91EEC">
        <w:rPr>
          <w:lang w:val="sr-Latn-CS"/>
        </w:rPr>
        <w:t>u</w:t>
      </w:r>
      <w:r w:rsidR="000661E6" w:rsidRPr="00E91EEC">
        <w:rPr>
          <w:lang w:val="sr-Latn-CS"/>
        </w:rPr>
        <w:t xml:space="preserve"> EU</w:t>
      </w:r>
      <w:r w:rsidR="00C27CA4" w:rsidRPr="00E91EEC">
        <w:rPr>
          <w:lang w:val="sr-Latn-CS"/>
        </w:rPr>
        <w:t xml:space="preserve"> </w:t>
      </w:r>
      <w:r w:rsidR="002542F1" w:rsidRPr="00E91EEC">
        <w:rPr>
          <w:lang w:val="sr-Latn-CS"/>
        </w:rPr>
        <w:t xml:space="preserve">na </w:t>
      </w:r>
      <w:r w:rsidR="00C27CA4" w:rsidRPr="00E91EEC">
        <w:rPr>
          <w:lang w:val="sr-Latn-CS"/>
        </w:rPr>
        <w:t>koj</w:t>
      </w:r>
      <w:r w:rsidR="002542F1" w:rsidRPr="00E91EEC">
        <w:rPr>
          <w:lang w:val="sr-Latn-CS"/>
        </w:rPr>
        <w:t>a</w:t>
      </w:r>
      <w:r w:rsidR="00C27CA4" w:rsidRPr="00E91EEC">
        <w:rPr>
          <w:lang w:val="sr-Latn-CS"/>
        </w:rPr>
        <w:t xml:space="preserve"> su „nove“ </w:t>
      </w:r>
      <w:r w:rsidR="002542F1" w:rsidRPr="00E91EEC">
        <w:rPr>
          <w:lang w:val="sr-Latn-CS"/>
        </w:rPr>
        <w:t xml:space="preserve">istočne </w:t>
      </w:r>
      <w:r w:rsidR="00C27CA4" w:rsidRPr="00E91EEC">
        <w:rPr>
          <w:lang w:val="sr-Latn-CS"/>
        </w:rPr>
        <w:t>članice navikle da troše.</w:t>
      </w:r>
      <w:r w:rsidR="000661E6" w:rsidRPr="00E91EEC">
        <w:rPr>
          <w:lang w:val="sr-Latn-CS"/>
        </w:rPr>
        <w:t xml:space="preserve"> Ovaj rad se bavi isključivo ekonomskim efektima priključivanja novih članica </w:t>
      </w:r>
      <w:r w:rsidR="002542F1" w:rsidRPr="00E91EEC">
        <w:rPr>
          <w:lang w:val="sr-Latn-CS"/>
        </w:rPr>
        <w:t>EU</w:t>
      </w:r>
      <w:r w:rsidR="000661E6" w:rsidRPr="00E91EEC">
        <w:rPr>
          <w:lang w:val="sr-Latn-CS"/>
        </w:rPr>
        <w:t xml:space="preserve">. Period posmatranja je 2000-2016. godina. Zaključak koje se nametnuo nakon analize podataka u posmatranom periodu je da su prednosti integracije bile precenjene i da </w:t>
      </w:r>
      <w:r w:rsidR="002542F1" w:rsidRPr="00E91EEC">
        <w:rPr>
          <w:lang w:val="sr-Latn-CS"/>
        </w:rPr>
        <w:t xml:space="preserve">dugoročni </w:t>
      </w:r>
      <w:r w:rsidR="004D7CBB" w:rsidRPr="00E91EEC">
        <w:rPr>
          <w:lang w:val="sr-Latn-CS"/>
        </w:rPr>
        <w:t xml:space="preserve">ekonomski efekti priključivanja posmatranih država </w:t>
      </w:r>
      <w:r w:rsidR="002542F1" w:rsidRPr="00E91EEC">
        <w:rPr>
          <w:lang w:val="sr-Latn-CS"/>
        </w:rPr>
        <w:t>EU</w:t>
      </w:r>
      <w:r w:rsidR="004D7CBB" w:rsidRPr="00E91EEC">
        <w:rPr>
          <w:lang w:val="sr-Latn-CS"/>
        </w:rPr>
        <w:t xml:space="preserve"> nisu bili pozitivni</w:t>
      </w:r>
      <w:r w:rsidR="002542F1" w:rsidRPr="00E91EEC">
        <w:rPr>
          <w:lang w:val="sr-Latn-CS"/>
        </w:rPr>
        <w:t xml:space="preserve"> zbog vrtoglavog povećanja duga inostranstvu</w:t>
      </w:r>
      <w:r w:rsidR="004D7CBB" w:rsidRPr="00E91EEC">
        <w:rPr>
          <w:lang w:val="sr-Latn-CS"/>
        </w:rPr>
        <w:t>.</w:t>
      </w:r>
    </w:p>
    <w:p w:rsidR="00E95ED2" w:rsidRPr="00E91EEC" w:rsidRDefault="00E95ED2" w:rsidP="00E95ED2">
      <w:pPr>
        <w:jc w:val="both"/>
        <w:rPr>
          <w:lang w:val="sr-Latn-CS"/>
        </w:rPr>
      </w:pPr>
      <w:r w:rsidRPr="00E91EEC">
        <w:rPr>
          <w:b/>
          <w:lang w:val="sr-Latn-CS"/>
        </w:rPr>
        <w:t>Ključne reči</w:t>
      </w:r>
      <w:r w:rsidRPr="00E91EEC">
        <w:rPr>
          <w:lang w:val="sr-Latn-CS"/>
        </w:rPr>
        <w:t>: Evropska unija, istočno proširenje, efekti proširenja, centralna i istoč</w:t>
      </w:r>
      <w:r w:rsidR="00B30325" w:rsidRPr="00E91EEC">
        <w:rPr>
          <w:lang w:val="sr-Latn-CS"/>
        </w:rPr>
        <w:t xml:space="preserve">na Evropa, </w:t>
      </w:r>
      <w:r w:rsidRPr="00E91EEC">
        <w:rPr>
          <w:lang w:val="sr-Latn-CS"/>
        </w:rPr>
        <w:t xml:space="preserve"> evropska perspektiva, evro-zona</w:t>
      </w:r>
    </w:p>
    <w:p w:rsidR="00E95ED2" w:rsidRPr="00E91EEC" w:rsidRDefault="00E95ED2" w:rsidP="00E95ED2">
      <w:pPr>
        <w:jc w:val="both"/>
        <w:rPr>
          <w:lang w:val="sr-Latn-CS"/>
        </w:rPr>
      </w:pPr>
      <w:r w:rsidRPr="00E91EEC">
        <w:rPr>
          <w:b/>
          <w:lang w:val="sr-Latn-CS"/>
        </w:rPr>
        <w:t>JEL klasifikacija</w:t>
      </w:r>
      <w:r w:rsidRPr="00E91EEC">
        <w:rPr>
          <w:lang w:val="sr-Latn-CS"/>
        </w:rPr>
        <w:t>: F13, F15, F50</w:t>
      </w:r>
    </w:p>
    <w:p w:rsidR="004F3BBE" w:rsidRPr="00E91EEC" w:rsidRDefault="004F3BBE" w:rsidP="00C214B7">
      <w:pPr>
        <w:rPr>
          <w:color w:val="4472C4" w:themeColor="accent1"/>
          <w:lang w:val="sr-Latn-CS"/>
        </w:rPr>
      </w:pPr>
    </w:p>
    <w:p w:rsidR="00C214B7" w:rsidRPr="00E91EEC" w:rsidRDefault="00C214B7" w:rsidP="00C214B7">
      <w:pPr>
        <w:rPr>
          <w:lang w:val="sr-Latn-CS"/>
        </w:rPr>
      </w:pPr>
      <w:bookmarkStart w:id="0" w:name="_GoBack"/>
      <w:bookmarkEnd w:id="0"/>
    </w:p>
    <w:p w:rsidR="00C214B7" w:rsidRPr="00E91EEC" w:rsidRDefault="00C214B7">
      <w:pPr>
        <w:rPr>
          <w:lang w:val="sr-Latn-CS"/>
        </w:rPr>
      </w:pPr>
    </w:p>
    <w:p w:rsidR="00284B86" w:rsidRPr="00E91EEC" w:rsidRDefault="00284B86">
      <w:pPr>
        <w:rPr>
          <w:lang w:val="sr-Latn-CS"/>
        </w:rPr>
      </w:pPr>
    </w:p>
    <w:p w:rsidR="00284B86" w:rsidRPr="00E91EEC" w:rsidRDefault="00284B86">
      <w:pPr>
        <w:rPr>
          <w:lang w:val="sr-Latn-CS"/>
        </w:rPr>
      </w:pPr>
    </w:p>
    <w:p w:rsidR="003B7481" w:rsidRPr="00E91EEC" w:rsidRDefault="003B7481" w:rsidP="00C214B7">
      <w:pPr>
        <w:rPr>
          <w:b/>
          <w:lang w:val="sr-Latn-CS"/>
        </w:rPr>
      </w:pPr>
      <w:r w:rsidRPr="00E91EEC">
        <w:rPr>
          <w:b/>
          <w:lang w:val="sr-Latn-CS"/>
        </w:rPr>
        <w:lastRenderedPageBreak/>
        <w:t>Uvod</w:t>
      </w:r>
    </w:p>
    <w:p w:rsidR="00BB178D" w:rsidRPr="00E91EEC" w:rsidRDefault="00BB178D" w:rsidP="00E95ED2">
      <w:pPr>
        <w:jc w:val="both"/>
        <w:rPr>
          <w:lang w:val="sr-Latn-CS"/>
        </w:rPr>
      </w:pPr>
      <w:r w:rsidRPr="00E91EEC">
        <w:rPr>
          <w:lang w:val="sr-Latn-CS"/>
        </w:rPr>
        <w:t>Prošir</w:t>
      </w:r>
      <w:r w:rsidR="003F6E5D" w:rsidRPr="00E91EEC">
        <w:rPr>
          <w:lang w:val="sr-Latn-CS"/>
        </w:rPr>
        <w:t>enje</w:t>
      </w:r>
      <w:r w:rsidRPr="00E91EEC">
        <w:rPr>
          <w:lang w:val="sr-Latn-CS"/>
        </w:rPr>
        <w:t xml:space="preserve"> Evropske Unije na is</w:t>
      </w:r>
      <w:r w:rsidR="004A2833" w:rsidRPr="00E91EEC">
        <w:rPr>
          <w:lang w:val="sr-Latn-CS"/>
        </w:rPr>
        <w:t>tok odigralo se u tri kruga. EU-i se 2004. godine priključilo osam bivših socijalističkih zemalja centralne i istočne Evrope, kao i Malta i Kipar. Zatim, 2007. godine, EU-i su pristupile Bugarska i Rumunija, dok je Hrvatska</w:t>
      </w:r>
      <w:r w:rsidR="00403716" w:rsidRPr="00E91EEC">
        <w:rPr>
          <w:lang w:val="sr-Latn-CS"/>
        </w:rPr>
        <w:t xml:space="preserve"> postala punopravna članica EU </w:t>
      </w:r>
      <w:r w:rsidR="004A2833" w:rsidRPr="00E91EEC">
        <w:rPr>
          <w:lang w:val="sr-Latn-CS"/>
        </w:rPr>
        <w:t>2013. godine. Broj država članica EU se više nego učetvorostručio od vremena njenog nastanka. Prema tome, proširenje se može smatrati najuspešnijom politikom EU.</w:t>
      </w:r>
      <w:r w:rsidR="00D53786" w:rsidRPr="00E91EEC">
        <w:rPr>
          <w:rStyle w:val="FootnoteReference"/>
          <w:lang w:val="sr-Latn-CS"/>
        </w:rPr>
        <w:footnoteReference w:id="3"/>
      </w:r>
      <w:r w:rsidR="004A2833" w:rsidRPr="00E91EEC">
        <w:rPr>
          <w:lang w:val="sr-Latn-CS"/>
        </w:rPr>
        <w:t xml:space="preserve"> S obzirom na to da je proteklo</w:t>
      </w:r>
      <w:r w:rsidR="00D53786" w:rsidRPr="00E91EEC">
        <w:rPr>
          <w:lang w:val="sr-Latn-CS"/>
        </w:rPr>
        <w:t xml:space="preserve"> dovoljno vremena od momenta proširenja EU na „nove“ članice, mogu se sagledati ekonomski efekti koje je članstvo donelo zemljama centralne i istočne Evrope. </w:t>
      </w:r>
    </w:p>
    <w:p w:rsidR="00867998" w:rsidRPr="00E91EEC" w:rsidRDefault="00867998" w:rsidP="00E95ED2">
      <w:pPr>
        <w:jc w:val="both"/>
        <w:rPr>
          <w:lang w:val="sr-Latn-CS"/>
        </w:rPr>
      </w:pPr>
      <w:r w:rsidRPr="00E91EEC">
        <w:rPr>
          <w:lang w:val="sr-Latn-CS"/>
        </w:rPr>
        <w:t xml:space="preserve">Jedna od glavnih poluga ujedinjene Evrope predstavlja stav da su zajednički napredak i solidarnost neophodni kako bi se očuvao mir. Usled sprovedenih evropskih integracija, u zapadnom delu Evrope mogao se uočiti niz pozitivnih ekonomskih ishoda nakon 1957. godine. Međutim, globalna finansijska kriza 2008. godine pokazala je da ove integracije počivaju na krhkoj osnovi. </w:t>
      </w:r>
      <w:r w:rsidR="001D3FA1" w:rsidRPr="00E91EEC">
        <w:rPr>
          <w:lang w:val="sr-Latn-CS"/>
        </w:rPr>
        <w:t xml:space="preserve">Nesuglasice koje su nastale između zemalja članica ukazale </w:t>
      </w:r>
      <w:r w:rsidR="00CB005F" w:rsidRPr="00E91EEC">
        <w:rPr>
          <w:lang w:val="sr-Latn-CS"/>
        </w:rPr>
        <w:t>su na to da je suparništvo i op</w:t>
      </w:r>
      <w:r w:rsidR="001D3FA1" w:rsidRPr="00E91EEC">
        <w:rPr>
          <w:lang w:val="sr-Latn-CS"/>
        </w:rPr>
        <w:t xml:space="preserve">rečnost stavova članica veća nego što </w:t>
      </w:r>
      <w:r w:rsidR="00CB005F" w:rsidRPr="00E91EEC">
        <w:rPr>
          <w:lang w:val="sr-Latn-CS"/>
        </w:rPr>
        <w:t xml:space="preserve">je delovalo u početku integracija. </w:t>
      </w:r>
    </w:p>
    <w:p w:rsidR="00067CD9" w:rsidRPr="00E91EEC" w:rsidRDefault="00A2608E" w:rsidP="00E95ED2">
      <w:pPr>
        <w:jc w:val="both"/>
        <w:rPr>
          <w:lang w:val="sr-Latn-CS"/>
        </w:rPr>
      </w:pPr>
      <w:r w:rsidRPr="00E91EEC">
        <w:rPr>
          <w:lang w:val="sr-Latn-CS"/>
        </w:rPr>
        <w:t>Više nego uočljiv</w:t>
      </w:r>
      <w:r w:rsidR="00E95ED2" w:rsidRPr="00E91EEC">
        <w:rPr>
          <w:lang w:val="sr-Latn-CS"/>
        </w:rPr>
        <w:t>e razlike</w:t>
      </w:r>
      <w:r w:rsidRPr="00E91EEC">
        <w:rPr>
          <w:lang w:val="sr-Latn-CS"/>
        </w:rPr>
        <w:t xml:space="preserve"> koj</w:t>
      </w:r>
      <w:r w:rsidR="00E95ED2" w:rsidRPr="00E91EEC">
        <w:rPr>
          <w:lang w:val="sr-Latn-CS"/>
        </w:rPr>
        <w:t>e</w:t>
      </w:r>
      <w:r w:rsidRPr="00E91EEC">
        <w:rPr>
          <w:lang w:val="sr-Latn-CS"/>
        </w:rPr>
        <w:t xml:space="preserve"> postoj</w:t>
      </w:r>
      <w:r w:rsidR="00E95ED2" w:rsidRPr="00E91EEC">
        <w:rPr>
          <w:lang w:val="sr-Latn-CS"/>
        </w:rPr>
        <w:t>e</w:t>
      </w:r>
      <w:r w:rsidRPr="00E91EEC">
        <w:rPr>
          <w:lang w:val="sr-Latn-CS"/>
        </w:rPr>
        <w:t xml:space="preserve"> između zemalja EU ukazuj</w:t>
      </w:r>
      <w:r w:rsidR="00E95ED2" w:rsidRPr="00E91EEC">
        <w:rPr>
          <w:lang w:val="sr-Latn-CS"/>
        </w:rPr>
        <w:t>u</w:t>
      </w:r>
      <w:r w:rsidRPr="00E91EEC">
        <w:rPr>
          <w:lang w:val="sr-Latn-CS"/>
        </w:rPr>
        <w:t xml:space="preserve"> na to da EU predstavlja raznoliku grupu zemalja koje pripadaju zapadnoj, istočnoj, severnoj i južnoj Evropi, uz tendenciju da se razlike na relaciji sever-jug ili istok-zapad u nekim aspektima čak i povećavaju.</w:t>
      </w:r>
    </w:p>
    <w:p w:rsidR="003A51DE" w:rsidRPr="00E91EEC" w:rsidRDefault="00E95ED2" w:rsidP="00377EA2">
      <w:pPr>
        <w:jc w:val="both"/>
        <w:rPr>
          <w:lang w:val="sr-Latn-CS"/>
        </w:rPr>
      </w:pPr>
      <w:r w:rsidRPr="00E91EEC">
        <w:rPr>
          <w:lang w:val="sr-Latn-CS"/>
        </w:rPr>
        <w:t xml:space="preserve">U želji da pobegnu od komunističkog sistema </w:t>
      </w:r>
      <w:r w:rsidR="003A51DE" w:rsidRPr="00E91EEC">
        <w:rPr>
          <w:lang w:val="sr-Latn-CS"/>
        </w:rPr>
        <w:t xml:space="preserve">pod upravom </w:t>
      </w:r>
      <w:r w:rsidR="00C214B7" w:rsidRPr="00E91EEC">
        <w:rPr>
          <w:lang w:val="sr-Latn-CS"/>
        </w:rPr>
        <w:t xml:space="preserve">Sovjetskog Saveza, bivše socijalističke istočne zemlje </w:t>
      </w:r>
      <w:r w:rsidRPr="00E91EEC">
        <w:rPr>
          <w:lang w:val="sr-Latn-CS"/>
        </w:rPr>
        <w:t xml:space="preserve">su </w:t>
      </w:r>
      <w:r w:rsidR="00C214B7" w:rsidRPr="00E91EEC">
        <w:rPr>
          <w:lang w:val="sr-Latn-CS"/>
        </w:rPr>
        <w:t xml:space="preserve">očekivale da </w:t>
      </w:r>
      <w:r w:rsidR="00C54C32" w:rsidRPr="00E91EEC">
        <w:rPr>
          <w:lang w:val="sr-Latn-CS"/>
        </w:rPr>
        <w:t>će se priključiti</w:t>
      </w:r>
      <w:r w:rsidR="00C214B7" w:rsidRPr="00E91EEC">
        <w:rPr>
          <w:lang w:val="sr-Latn-CS"/>
        </w:rPr>
        <w:t xml:space="preserve"> liberalno-demokratskoj EU. Međutim, </w:t>
      </w:r>
      <w:r w:rsidRPr="00E91EEC">
        <w:rPr>
          <w:lang w:val="sr-Latn-CS"/>
        </w:rPr>
        <w:t>razočarenje je nastupilo kada su shvatile čem</w:t>
      </w:r>
      <w:r w:rsidR="00377EA2" w:rsidRPr="00E91EEC">
        <w:rPr>
          <w:lang w:val="sr-Latn-CS"/>
        </w:rPr>
        <w:t xml:space="preserve">u su se, zapravo, pridružile: </w:t>
      </w:r>
      <w:r w:rsidRPr="00E91EEC">
        <w:rPr>
          <w:lang w:val="sr-Latn-CS"/>
        </w:rPr>
        <w:t xml:space="preserve">neliberalnoj </w:t>
      </w:r>
      <w:r w:rsidR="00C214B7" w:rsidRPr="00E91EEC">
        <w:rPr>
          <w:lang w:val="sr-Latn-CS"/>
        </w:rPr>
        <w:t>demokratiji. Mašin</w:t>
      </w:r>
      <w:r w:rsidR="00C54C32" w:rsidRPr="00E91EEC">
        <w:rPr>
          <w:lang w:val="sr-Latn-CS"/>
        </w:rPr>
        <w:t>erij</w:t>
      </w:r>
      <w:r w:rsidR="00C214B7" w:rsidRPr="00E91EEC">
        <w:rPr>
          <w:lang w:val="sr-Latn-CS"/>
        </w:rPr>
        <w:t xml:space="preserve">a EU </w:t>
      </w:r>
      <w:r w:rsidR="00700622" w:rsidRPr="00E91EEC">
        <w:rPr>
          <w:lang w:val="sr-Latn-CS"/>
        </w:rPr>
        <w:t xml:space="preserve">dovela je do toga da Danska </w:t>
      </w:r>
      <w:r w:rsidR="003A51DE" w:rsidRPr="00E91EEC">
        <w:rPr>
          <w:lang w:val="sr-Latn-CS"/>
        </w:rPr>
        <w:t xml:space="preserve">prvobitno </w:t>
      </w:r>
      <w:r w:rsidR="00700622" w:rsidRPr="00E91EEC">
        <w:rPr>
          <w:lang w:val="sr-Latn-CS"/>
        </w:rPr>
        <w:t>odbaci sporazum iz Mastrihta</w:t>
      </w:r>
      <w:r w:rsidR="00C214B7" w:rsidRPr="00E91EEC">
        <w:rPr>
          <w:lang w:val="sr-Latn-CS"/>
        </w:rPr>
        <w:t xml:space="preserve"> na referendumu 1992. godine; odbijanje </w:t>
      </w:r>
      <w:r w:rsidR="00700622" w:rsidRPr="00E91EEC">
        <w:rPr>
          <w:lang w:val="sr-Latn-CS"/>
        </w:rPr>
        <w:t>e</w:t>
      </w:r>
      <w:r w:rsidR="00C214B7" w:rsidRPr="00E91EEC">
        <w:rPr>
          <w:lang w:val="sr-Latn-CS"/>
        </w:rPr>
        <w:t xml:space="preserve">vropskog ustava </w:t>
      </w:r>
      <w:r w:rsidR="00A2608E" w:rsidRPr="00E91EEC">
        <w:rPr>
          <w:lang w:val="sr-Latn-CS"/>
        </w:rPr>
        <w:t xml:space="preserve">na referendumima </w:t>
      </w:r>
      <w:r w:rsidR="00C214B7" w:rsidRPr="00E91EEC">
        <w:rPr>
          <w:lang w:val="sr-Latn-CS"/>
        </w:rPr>
        <w:t>u Francuskoj i Holandiji</w:t>
      </w:r>
      <w:r w:rsidR="00A2608E" w:rsidRPr="00E91EEC">
        <w:rPr>
          <w:lang w:val="sr-Latn-CS"/>
        </w:rPr>
        <w:t xml:space="preserve"> 2005. godine</w:t>
      </w:r>
      <w:r w:rsidR="00700622" w:rsidRPr="00E91EEC">
        <w:rPr>
          <w:lang w:val="sr-Latn-CS"/>
        </w:rPr>
        <w:t>; I</w:t>
      </w:r>
      <w:r w:rsidR="00C214B7" w:rsidRPr="00E91EEC">
        <w:rPr>
          <w:lang w:val="sr-Latn-CS"/>
        </w:rPr>
        <w:t xml:space="preserve">rski referendum </w:t>
      </w:r>
      <w:r w:rsidR="00A2608E" w:rsidRPr="00E91EEC">
        <w:rPr>
          <w:lang w:val="sr-Latn-CS"/>
        </w:rPr>
        <w:t xml:space="preserve">rekao je </w:t>
      </w:r>
      <w:r w:rsidR="00C214B7" w:rsidRPr="00E91EEC">
        <w:rPr>
          <w:lang w:val="sr-Latn-CS"/>
        </w:rPr>
        <w:t>"</w:t>
      </w:r>
      <w:r w:rsidR="00700622" w:rsidRPr="00E91EEC">
        <w:rPr>
          <w:lang w:val="sr-Latn-CS"/>
        </w:rPr>
        <w:t>n</w:t>
      </w:r>
      <w:r w:rsidR="00C214B7" w:rsidRPr="00E91EEC">
        <w:rPr>
          <w:lang w:val="sr-Latn-CS"/>
        </w:rPr>
        <w:t xml:space="preserve">e" kako </w:t>
      </w:r>
      <w:r w:rsidR="00700622" w:rsidRPr="00E91EEC">
        <w:rPr>
          <w:lang w:val="sr-Latn-CS"/>
        </w:rPr>
        <w:t>s</w:t>
      </w:r>
      <w:r w:rsidR="00A2608E" w:rsidRPr="00E91EEC">
        <w:rPr>
          <w:lang w:val="sr-Latn-CS"/>
        </w:rPr>
        <w:t>porazumu u Nici 2001</w:t>
      </w:r>
      <w:r w:rsidR="00C214B7" w:rsidRPr="00E91EEC">
        <w:rPr>
          <w:lang w:val="sr-Latn-CS"/>
        </w:rPr>
        <w:t>, tako i Lisabonsk</w:t>
      </w:r>
      <w:r w:rsidR="00A2608E" w:rsidRPr="00E91EEC">
        <w:rPr>
          <w:lang w:val="sr-Latn-CS"/>
        </w:rPr>
        <w:t>om</w:t>
      </w:r>
      <w:r w:rsidR="00C214B7" w:rsidRPr="00E91EEC">
        <w:rPr>
          <w:lang w:val="sr-Latn-CS"/>
        </w:rPr>
        <w:t xml:space="preserve"> ugovor</w:t>
      </w:r>
      <w:r w:rsidR="00A2608E" w:rsidRPr="00E91EEC">
        <w:rPr>
          <w:lang w:val="sr-Latn-CS"/>
        </w:rPr>
        <w:t>u</w:t>
      </w:r>
      <w:r w:rsidR="00377EA2" w:rsidRPr="00E91EEC">
        <w:rPr>
          <w:lang w:val="sr-Latn-CS"/>
        </w:rPr>
        <w:t xml:space="preserve"> 2008. </w:t>
      </w:r>
      <w:r w:rsidR="00C54C32" w:rsidRPr="00E91EEC">
        <w:rPr>
          <w:lang w:val="sr-Latn-CS"/>
        </w:rPr>
        <w:t xml:space="preserve">godine; </w:t>
      </w:r>
      <w:r w:rsidR="00700622" w:rsidRPr="00E91EEC">
        <w:rPr>
          <w:lang w:val="sr-Latn-CS"/>
        </w:rPr>
        <w:t>a</w:t>
      </w:r>
      <w:r w:rsidR="00C54C32" w:rsidRPr="00E91EEC">
        <w:rPr>
          <w:lang w:val="sr-Latn-CS"/>
        </w:rPr>
        <w:t xml:space="preserve"> </w:t>
      </w:r>
      <w:r w:rsidR="00700622" w:rsidRPr="00E91EEC">
        <w:rPr>
          <w:lang w:val="sr-Latn-CS"/>
        </w:rPr>
        <w:t>Grčka je odbila program</w:t>
      </w:r>
      <w:r w:rsidR="00C54C32" w:rsidRPr="00E91EEC">
        <w:rPr>
          <w:lang w:val="sr-Latn-CS"/>
        </w:rPr>
        <w:t xml:space="preserve"> za rešavanje finansijske krize </w:t>
      </w:r>
      <w:r w:rsidR="00C214B7" w:rsidRPr="00E91EEC">
        <w:rPr>
          <w:lang w:val="sr-Latn-CS"/>
        </w:rPr>
        <w:t>na nacionalnom referendumu</w:t>
      </w:r>
      <w:r w:rsidR="00C54C32" w:rsidRPr="00E91EEC">
        <w:rPr>
          <w:lang w:val="sr-Latn-CS"/>
        </w:rPr>
        <w:t xml:space="preserve"> održanom</w:t>
      </w:r>
      <w:r w:rsidR="00C214B7" w:rsidRPr="00E91EEC">
        <w:rPr>
          <w:lang w:val="sr-Latn-CS"/>
        </w:rPr>
        <w:t xml:space="preserve"> 2015.</w:t>
      </w:r>
      <w:r w:rsidR="00C54C32" w:rsidRPr="00E91EEC">
        <w:rPr>
          <w:lang w:val="sr-Latn-CS"/>
        </w:rPr>
        <w:t xml:space="preserve"> godine. </w:t>
      </w:r>
      <w:r w:rsidR="003A51DE" w:rsidRPr="00E91EEC">
        <w:rPr>
          <w:lang w:val="sr-Latn-CS"/>
        </w:rPr>
        <w:t xml:space="preserve">Bez obzira na tako izraženu volju naroda, “crni magovi EU” preobratili su navedenu narodnu volju na jedan ili drugi način. </w:t>
      </w:r>
    </w:p>
    <w:p w:rsidR="00C214B7" w:rsidRPr="00E91EEC" w:rsidRDefault="00700622" w:rsidP="00377EA2">
      <w:pPr>
        <w:jc w:val="both"/>
        <w:rPr>
          <w:lang w:val="sr-Latn-CS"/>
        </w:rPr>
      </w:pPr>
      <w:r w:rsidRPr="00E91EEC">
        <w:rPr>
          <w:lang w:val="sr-Latn-CS"/>
        </w:rPr>
        <w:t>Britanija je izlaskom iz EU (Bregzit) zatražila slobodu i jasno stavila do znanja da svoj razvoj ne vidi unutar EU. Buduće blagostanje Britanije ne može se graditi u okviru EU, jer su poz</w:t>
      </w:r>
      <w:r w:rsidR="00377EA2" w:rsidRPr="00E91EEC">
        <w:rPr>
          <w:lang w:val="sr-Latn-CS"/>
        </w:rPr>
        <w:t>iti</w:t>
      </w:r>
      <w:r w:rsidRPr="00E91EEC">
        <w:rPr>
          <w:lang w:val="sr-Latn-CS"/>
        </w:rPr>
        <w:t xml:space="preserve">vni efekti </w:t>
      </w:r>
      <w:r w:rsidR="00377EA2" w:rsidRPr="00E91EEC">
        <w:rPr>
          <w:lang w:val="sr-Latn-CS"/>
        </w:rPr>
        <w:t xml:space="preserve">EU na Britaniju </w:t>
      </w:r>
      <w:r w:rsidR="006F720B" w:rsidRPr="00E91EEC">
        <w:rPr>
          <w:lang w:val="sr-Latn-CS"/>
        </w:rPr>
        <w:t xml:space="preserve">odavno </w:t>
      </w:r>
      <w:r w:rsidR="00377EA2" w:rsidRPr="00E91EEC">
        <w:rPr>
          <w:lang w:val="sr-Latn-CS"/>
        </w:rPr>
        <w:t xml:space="preserve">iscrpljeni. </w:t>
      </w:r>
      <w:r w:rsidRPr="00E91EEC">
        <w:rPr>
          <w:lang w:val="sr-Latn-CS"/>
        </w:rPr>
        <w:t>Bregz</w:t>
      </w:r>
      <w:r w:rsidR="00C214B7" w:rsidRPr="00E91EEC">
        <w:rPr>
          <w:lang w:val="sr-Latn-CS"/>
        </w:rPr>
        <w:t xml:space="preserve">it </w:t>
      </w:r>
      <w:r w:rsidR="00C54C32" w:rsidRPr="00E91EEC">
        <w:rPr>
          <w:lang w:val="sr-Latn-CS"/>
        </w:rPr>
        <w:t>predstavlja posledicu</w:t>
      </w:r>
      <w:r w:rsidR="00C214B7" w:rsidRPr="00E91EEC">
        <w:rPr>
          <w:lang w:val="sr-Latn-CS"/>
        </w:rPr>
        <w:t xml:space="preserve"> </w:t>
      </w:r>
      <w:r w:rsidR="006F720B" w:rsidRPr="00E91EEC">
        <w:rPr>
          <w:lang w:val="sr-Latn-CS"/>
        </w:rPr>
        <w:t xml:space="preserve">skoro </w:t>
      </w:r>
      <w:r w:rsidR="00C54C32" w:rsidRPr="00E91EEC">
        <w:rPr>
          <w:lang w:val="sr-Latn-CS"/>
        </w:rPr>
        <w:t>potpunog</w:t>
      </w:r>
      <w:r w:rsidR="00C214B7" w:rsidRPr="00E91EEC">
        <w:rPr>
          <w:lang w:val="sr-Latn-CS"/>
        </w:rPr>
        <w:t xml:space="preserve"> gubitka suvereniteta </w:t>
      </w:r>
      <w:r w:rsidR="00C0665D" w:rsidRPr="00E91EEC">
        <w:rPr>
          <w:lang w:val="sr-Latn-CS"/>
        </w:rPr>
        <w:t>uzrokovanog Jedinstveni</w:t>
      </w:r>
      <w:r w:rsidR="00C214B7" w:rsidRPr="00E91EEC">
        <w:rPr>
          <w:lang w:val="sr-Latn-CS"/>
        </w:rPr>
        <w:t>m evropsk</w:t>
      </w:r>
      <w:r w:rsidR="00C0665D" w:rsidRPr="00E91EEC">
        <w:rPr>
          <w:lang w:val="sr-Latn-CS"/>
        </w:rPr>
        <w:t>im aktom</w:t>
      </w:r>
      <w:r w:rsidR="00C214B7" w:rsidRPr="00E91EEC">
        <w:rPr>
          <w:lang w:val="sr-Latn-CS"/>
        </w:rPr>
        <w:t xml:space="preserve"> i ugovorima </w:t>
      </w:r>
      <w:r w:rsidR="00C0665D" w:rsidRPr="00E91EEC">
        <w:rPr>
          <w:lang w:val="sr-Latn-CS"/>
        </w:rPr>
        <w:t>iz Mastrihta, Amsterdama, Nice</w:t>
      </w:r>
      <w:r w:rsidR="00C214B7" w:rsidRPr="00E91EEC">
        <w:rPr>
          <w:lang w:val="sr-Latn-CS"/>
        </w:rPr>
        <w:t xml:space="preserve"> i Lisabona. </w:t>
      </w:r>
    </w:p>
    <w:p w:rsidR="00C214B7" w:rsidRPr="00E91EEC" w:rsidRDefault="00E36FE8" w:rsidP="00E36FE8">
      <w:pPr>
        <w:jc w:val="both"/>
        <w:rPr>
          <w:lang w:val="sr-Latn-CS"/>
        </w:rPr>
      </w:pPr>
      <w:r w:rsidRPr="00E91EEC">
        <w:rPr>
          <w:lang w:val="sr-Latn-CS"/>
        </w:rPr>
        <w:t xml:space="preserve">Očekivanja i potrebe istočnog dela EU su u velikoj meri zanemarene. </w:t>
      </w:r>
      <w:r w:rsidR="00641091" w:rsidRPr="00E91EEC">
        <w:rPr>
          <w:lang w:val="sr-Latn-CS"/>
        </w:rPr>
        <w:t>T</w:t>
      </w:r>
      <w:r w:rsidR="00C214B7" w:rsidRPr="00E91EEC">
        <w:rPr>
          <w:lang w:val="sr-Latn-CS"/>
        </w:rPr>
        <w:t>ehnokrat</w:t>
      </w:r>
      <w:r w:rsidR="00C0665D" w:rsidRPr="00E91EEC">
        <w:rPr>
          <w:lang w:val="sr-Latn-CS"/>
        </w:rPr>
        <w:t xml:space="preserve">e iz Brisela (među kojima je i nekoliko </w:t>
      </w:r>
      <w:r w:rsidR="006F720B" w:rsidRPr="00E91EEC">
        <w:rPr>
          <w:lang w:val="sr-Latn-CS"/>
        </w:rPr>
        <w:t xml:space="preserve">njih </w:t>
      </w:r>
      <w:r w:rsidR="00C0665D" w:rsidRPr="00E91EEC">
        <w:rPr>
          <w:lang w:val="sr-Latn-CS"/>
        </w:rPr>
        <w:t>iz zemalja istočne Evrope</w:t>
      </w:r>
      <w:r w:rsidR="00C214B7" w:rsidRPr="00E91EEC">
        <w:rPr>
          <w:lang w:val="sr-Latn-CS"/>
        </w:rPr>
        <w:t xml:space="preserve">) nameću politiku i odluke koje istočni deo EU mora </w:t>
      </w:r>
      <w:r w:rsidRPr="00E91EEC">
        <w:rPr>
          <w:lang w:val="sr-Latn-CS"/>
        </w:rPr>
        <w:t>da sprovodi</w:t>
      </w:r>
      <w:r w:rsidR="006F720B" w:rsidRPr="00E91EEC">
        <w:rPr>
          <w:lang w:val="sr-Latn-CS"/>
        </w:rPr>
        <w:t xml:space="preserve"> poslušno</w:t>
      </w:r>
      <w:r w:rsidR="00C214B7" w:rsidRPr="00E91EEC">
        <w:rPr>
          <w:lang w:val="sr-Latn-CS"/>
        </w:rPr>
        <w:t xml:space="preserve">. </w:t>
      </w:r>
      <w:r w:rsidRPr="00E91EEC">
        <w:rPr>
          <w:lang w:val="sr-Latn-CS"/>
        </w:rPr>
        <w:t>Za istočne zemlje je od velikog značaja očuvanje suvereniteta koji su teško stekli i izborili</w:t>
      </w:r>
      <w:r w:rsidR="00C0665D" w:rsidRPr="00E91EEC">
        <w:rPr>
          <w:lang w:val="sr-Latn-CS"/>
        </w:rPr>
        <w:t xml:space="preserve"> </w:t>
      </w:r>
      <w:r w:rsidR="006F720B" w:rsidRPr="00E91EEC">
        <w:rPr>
          <w:lang w:val="sr-Latn-CS"/>
        </w:rPr>
        <w:t xml:space="preserve">i </w:t>
      </w:r>
      <w:r w:rsidR="00641091" w:rsidRPr="00E91EEC">
        <w:rPr>
          <w:lang w:val="sr-Latn-CS"/>
        </w:rPr>
        <w:t>od Habz</w:t>
      </w:r>
      <w:r w:rsidR="00C214B7" w:rsidRPr="00E91EEC">
        <w:rPr>
          <w:lang w:val="sr-Latn-CS"/>
        </w:rPr>
        <w:t xml:space="preserve">burga i </w:t>
      </w:r>
      <w:r w:rsidR="006F720B" w:rsidRPr="00E91EEC">
        <w:rPr>
          <w:lang w:val="sr-Latn-CS"/>
        </w:rPr>
        <w:t xml:space="preserve">od </w:t>
      </w:r>
      <w:r w:rsidR="00C214B7" w:rsidRPr="00E91EEC">
        <w:rPr>
          <w:lang w:val="sr-Latn-CS"/>
        </w:rPr>
        <w:t xml:space="preserve">Sovjeta. </w:t>
      </w:r>
      <w:r w:rsidRPr="00E91EEC">
        <w:rPr>
          <w:lang w:val="sr-Latn-CS"/>
        </w:rPr>
        <w:t>U</w:t>
      </w:r>
      <w:r w:rsidR="00C214B7" w:rsidRPr="00E91EEC">
        <w:rPr>
          <w:lang w:val="sr-Latn-CS"/>
        </w:rPr>
        <w:t xml:space="preserve"> </w:t>
      </w:r>
      <w:r w:rsidR="00C0665D" w:rsidRPr="00E91EEC">
        <w:rPr>
          <w:lang w:val="sr-Latn-CS"/>
        </w:rPr>
        <w:t xml:space="preserve">istočnoj </w:t>
      </w:r>
      <w:r w:rsidR="00C214B7" w:rsidRPr="00E91EEC">
        <w:rPr>
          <w:lang w:val="sr-Latn-CS"/>
        </w:rPr>
        <w:t xml:space="preserve">EU </w:t>
      </w:r>
      <w:r w:rsidRPr="00E91EEC">
        <w:rPr>
          <w:lang w:val="sr-Latn-CS"/>
        </w:rPr>
        <w:t xml:space="preserve">mnogi se </w:t>
      </w:r>
      <w:r w:rsidR="00C214B7" w:rsidRPr="00E91EEC">
        <w:rPr>
          <w:lang w:val="sr-Latn-CS"/>
        </w:rPr>
        <w:t xml:space="preserve">pitaju da li </w:t>
      </w:r>
      <w:r w:rsidR="00C0665D" w:rsidRPr="00E91EEC">
        <w:rPr>
          <w:lang w:val="sr-Latn-CS"/>
        </w:rPr>
        <w:t>je</w:t>
      </w:r>
      <w:r w:rsidR="006F720B" w:rsidRPr="00E91EEC">
        <w:rPr>
          <w:lang w:val="sr-Latn-CS"/>
        </w:rPr>
        <w:t xml:space="preserve"> sovjetska Moskva</w:t>
      </w:r>
      <w:r w:rsidR="00C0665D" w:rsidRPr="00E91EEC">
        <w:rPr>
          <w:lang w:val="sr-Latn-CS"/>
        </w:rPr>
        <w:t xml:space="preserve"> </w:t>
      </w:r>
      <w:r w:rsidR="006F720B" w:rsidRPr="00E91EEC">
        <w:rPr>
          <w:lang w:val="sr-Latn-CS"/>
        </w:rPr>
        <w:t xml:space="preserve">zamenjena za </w:t>
      </w:r>
      <w:r w:rsidR="00C0665D" w:rsidRPr="00E91EEC">
        <w:rPr>
          <w:lang w:val="sr-Latn-CS"/>
        </w:rPr>
        <w:t>„demokratski“ Brisel</w:t>
      </w:r>
      <w:r w:rsidR="006F720B" w:rsidRPr="00E91EEC">
        <w:rPr>
          <w:lang w:val="sr-Latn-CS"/>
        </w:rPr>
        <w:t>?</w:t>
      </w:r>
      <w:r w:rsidR="00C214B7" w:rsidRPr="00E91EEC">
        <w:rPr>
          <w:lang w:val="sr-Latn-CS"/>
        </w:rPr>
        <w:t xml:space="preserve"> </w:t>
      </w:r>
      <w:r w:rsidR="00C0665D" w:rsidRPr="00E91EEC">
        <w:rPr>
          <w:lang w:val="sr-Latn-CS"/>
        </w:rPr>
        <w:t>Iz tih razloga</w:t>
      </w:r>
      <w:r w:rsidR="00C214B7" w:rsidRPr="00E91EEC">
        <w:rPr>
          <w:lang w:val="sr-Latn-CS"/>
        </w:rPr>
        <w:t xml:space="preserve"> </w:t>
      </w:r>
      <w:r w:rsidR="00C0665D" w:rsidRPr="00E91EEC">
        <w:rPr>
          <w:lang w:val="sr-Latn-CS"/>
        </w:rPr>
        <w:t>dolazi do s</w:t>
      </w:r>
      <w:r w:rsidR="00C214B7" w:rsidRPr="00E91EEC">
        <w:rPr>
          <w:lang w:val="sr-Latn-CS"/>
        </w:rPr>
        <w:t>tvara</w:t>
      </w:r>
      <w:r w:rsidR="00C0665D" w:rsidRPr="00E91EEC">
        <w:rPr>
          <w:lang w:val="sr-Latn-CS"/>
        </w:rPr>
        <w:t>nja</w:t>
      </w:r>
      <w:r w:rsidR="00C214B7" w:rsidRPr="00E91EEC">
        <w:rPr>
          <w:lang w:val="sr-Latn-CS"/>
        </w:rPr>
        <w:t xml:space="preserve"> otpor</w:t>
      </w:r>
      <w:r w:rsidR="00C0665D" w:rsidRPr="00E91EEC">
        <w:rPr>
          <w:lang w:val="sr-Latn-CS"/>
        </w:rPr>
        <w:t>a</w:t>
      </w:r>
      <w:r w:rsidR="00C214B7" w:rsidRPr="00E91EEC">
        <w:rPr>
          <w:lang w:val="sr-Latn-CS"/>
        </w:rPr>
        <w:t xml:space="preserve"> briselskom diktatu iz Mađarske, Poljske, pa čak i Češke (npr. </w:t>
      </w:r>
      <w:r w:rsidR="00C0665D" w:rsidRPr="00E91EEC">
        <w:rPr>
          <w:lang w:val="sr-Latn-CS"/>
        </w:rPr>
        <w:t>nametnuta raspodela</w:t>
      </w:r>
      <w:r w:rsidR="00C214B7" w:rsidRPr="00E91EEC">
        <w:rPr>
          <w:lang w:val="sr-Latn-CS"/>
        </w:rPr>
        <w:t xml:space="preserve"> </w:t>
      </w:r>
      <w:r w:rsidR="00C0665D" w:rsidRPr="00E91EEC">
        <w:rPr>
          <w:lang w:val="sr-Latn-CS"/>
        </w:rPr>
        <w:t>hiljada</w:t>
      </w:r>
      <w:r w:rsidRPr="00E91EEC">
        <w:rPr>
          <w:lang w:val="sr-Latn-CS"/>
        </w:rPr>
        <w:t xml:space="preserve"> e</w:t>
      </w:r>
      <w:r w:rsidR="00C214B7" w:rsidRPr="00E91EEC">
        <w:rPr>
          <w:lang w:val="sr-Latn-CS"/>
        </w:rPr>
        <w:t xml:space="preserve">migranata iz muslimanskih zemalja). </w:t>
      </w:r>
    </w:p>
    <w:p w:rsidR="005967AB" w:rsidRPr="00E91EEC" w:rsidRDefault="00C214B7" w:rsidP="003F6E5D">
      <w:pPr>
        <w:jc w:val="both"/>
        <w:rPr>
          <w:lang w:val="sr-Latn-CS"/>
        </w:rPr>
      </w:pPr>
      <w:r w:rsidRPr="00E91EEC">
        <w:rPr>
          <w:lang w:val="sr-Latn-CS"/>
        </w:rPr>
        <w:t xml:space="preserve">Da li su zemlje centralne i istočne Evrope </w:t>
      </w:r>
      <w:r w:rsidR="00C0665D" w:rsidRPr="00E91EEC">
        <w:rPr>
          <w:lang w:val="sr-Latn-CS"/>
        </w:rPr>
        <w:t>drugorazredne članice EU</w:t>
      </w:r>
      <w:r w:rsidRPr="00E91EEC">
        <w:rPr>
          <w:lang w:val="sr-Latn-CS"/>
        </w:rPr>
        <w:t xml:space="preserve">? Šta su te zemlje </w:t>
      </w:r>
      <w:r w:rsidR="004119D0" w:rsidRPr="00E91EEC">
        <w:rPr>
          <w:lang w:val="sr-Latn-CS"/>
        </w:rPr>
        <w:t>dobile, a šta izgubile ulaskom u EU?</w:t>
      </w:r>
      <w:r w:rsidRPr="00E91EEC">
        <w:rPr>
          <w:lang w:val="sr-Latn-CS"/>
        </w:rPr>
        <w:t xml:space="preserve"> </w:t>
      </w:r>
      <w:r w:rsidR="004119D0" w:rsidRPr="00E91EEC">
        <w:rPr>
          <w:lang w:val="sr-Latn-CS"/>
        </w:rPr>
        <w:t>Cilj</w:t>
      </w:r>
      <w:r w:rsidRPr="00E91EEC">
        <w:rPr>
          <w:lang w:val="sr-Latn-CS"/>
        </w:rPr>
        <w:t xml:space="preserve"> ovog članka je </w:t>
      </w:r>
      <w:r w:rsidR="00C0665D" w:rsidRPr="00E91EEC">
        <w:rPr>
          <w:lang w:val="sr-Latn-CS"/>
        </w:rPr>
        <w:t>pronađe</w:t>
      </w:r>
      <w:r w:rsidRPr="00E91EEC">
        <w:rPr>
          <w:lang w:val="sr-Latn-CS"/>
        </w:rPr>
        <w:t xml:space="preserve"> odgovore na </w:t>
      </w:r>
      <w:r w:rsidR="004119D0" w:rsidRPr="00E91EEC">
        <w:rPr>
          <w:lang w:val="sr-Latn-CS"/>
        </w:rPr>
        <w:t xml:space="preserve">ova pitanja i to </w:t>
      </w:r>
      <w:r w:rsidR="00C0665D" w:rsidRPr="00E91EEC">
        <w:rPr>
          <w:lang w:val="sr-Latn-CS"/>
        </w:rPr>
        <w:t>sa</w:t>
      </w:r>
      <w:r w:rsidR="004119D0" w:rsidRPr="00E91EEC">
        <w:rPr>
          <w:lang w:val="sr-Latn-CS"/>
        </w:rPr>
        <w:t xml:space="preserve"> stanovišta ekonomskog blagostanja tako što će prikazati glavne ekonomske pokazatelje</w:t>
      </w:r>
      <w:r w:rsidRPr="00E91EEC">
        <w:rPr>
          <w:lang w:val="sr-Latn-CS"/>
        </w:rPr>
        <w:t xml:space="preserve"> </w:t>
      </w:r>
      <w:r w:rsidR="004119D0" w:rsidRPr="00E91EEC">
        <w:rPr>
          <w:lang w:val="sr-Latn-CS"/>
        </w:rPr>
        <w:t>vezane</w:t>
      </w:r>
      <w:r w:rsidR="00C0665D" w:rsidRPr="00E91EEC">
        <w:rPr>
          <w:lang w:val="sr-Latn-CS"/>
        </w:rPr>
        <w:t xml:space="preserve"> za </w:t>
      </w:r>
      <w:r w:rsidRPr="00E91EEC">
        <w:rPr>
          <w:lang w:val="sr-Latn-CS"/>
        </w:rPr>
        <w:t>nov</w:t>
      </w:r>
      <w:r w:rsidR="00C0665D" w:rsidRPr="00E91EEC">
        <w:rPr>
          <w:lang w:val="sr-Latn-CS"/>
        </w:rPr>
        <w:t>e</w:t>
      </w:r>
      <w:r w:rsidR="004119D0" w:rsidRPr="00E91EEC">
        <w:rPr>
          <w:lang w:val="sr-Latn-CS"/>
        </w:rPr>
        <w:t xml:space="preserve"> članice</w:t>
      </w:r>
      <w:r w:rsidRPr="00E91EEC">
        <w:rPr>
          <w:lang w:val="sr-Latn-CS"/>
        </w:rPr>
        <w:t xml:space="preserve"> </w:t>
      </w:r>
      <w:r w:rsidRPr="00E91EEC">
        <w:rPr>
          <w:lang w:val="sr-Latn-CS"/>
        </w:rPr>
        <w:lastRenderedPageBreak/>
        <w:t xml:space="preserve">EU. </w:t>
      </w:r>
      <w:r w:rsidR="00144EAA" w:rsidRPr="00E91EEC">
        <w:rPr>
          <w:lang w:val="sr-Latn-CS"/>
        </w:rPr>
        <w:t>Nakon</w:t>
      </w:r>
      <w:r w:rsidRPr="00E91EEC">
        <w:rPr>
          <w:lang w:val="sr-Latn-CS"/>
        </w:rPr>
        <w:t xml:space="preserve"> </w:t>
      </w:r>
      <w:r w:rsidR="00970815" w:rsidRPr="00E91EEC">
        <w:rPr>
          <w:lang w:val="sr-Latn-CS"/>
        </w:rPr>
        <w:t xml:space="preserve">ovog </w:t>
      </w:r>
      <w:r w:rsidR="00E36FE8" w:rsidRPr="00E91EEC">
        <w:rPr>
          <w:lang w:val="sr-Latn-CS"/>
        </w:rPr>
        <w:t>u</w:t>
      </w:r>
      <w:r w:rsidRPr="00E91EEC">
        <w:rPr>
          <w:lang w:val="sr-Latn-CS"/>
        </w:rPr>
        <w:t>vod</w:t>
      </w:r>
      <w:r w:rsidR="00144EAA" w:rsidRPr="00E91EEC">
        <w:rPr>
          <w:lang w:val="sr-Latn-CS"/>
        </w:rPr>
        <w:t>a</w:t>
      </w:r>
      <w:r w:rsidRPr="00E91EEC">
        <w:rPr>
          <w:lang w:val="sr-Latn-CS"/>
        </w:rPr>
        <w:t xml:space="preserve">, </w:t>
      </w:r>
      <w:r w:rsidR="004119D0" w:rsidRPr="00E91EEC">
        <w:rPr>
          <w:lang w:val="sr-Latn-CS"/>
        </w:rPr>
        <w:t xml:space="preserve">u odeljku 2, </w:t>
      </w:r>
      <w:r w:rsidRPr="00E91EEC">
        <w:rPr>
          <w:lang w:val="sr-Latn-CS"/>
        </w:rPr>
        <w:t>nastavlja</w:t>
      </w:r>
      <w:r w:rsidR="00E36FE8" w:rsidRPr="00E91EEC">
        <w:rPr>
          <w:lang w:val="sr-Latn-CS"/>
        </w:rPr>
        <w:t xml:space="preserve"> se</w:t>
      </w:r>
      <w:r w:rsidR="00970815" w:rsidRPr="00E91EEC">
        <w:rPr>
          <w:lang w:val="sr-Latn-CS"/>
        </w:rPr>
        <w:t xml:space="preserve"> razmatra</w:t>
      </w:r>
      <w:r w:rsidR="00CD000B" w:rsidRPr="00E91EEC">
        <w:rPr>
          <w:lang w:val="sr-Latn-CS"/>
        </w:rPr>
        <w:t>njem</w:t>
      </w:r>
      <w:r w:rsidRPr="00E91EEC">
        <w:rPr>
          <w:lang w:val="sr-Latn-CS"/>
        </w:rPr>
        <w:t xml:space="preserve"> o glavnim ekonomskim </w:t>
      </w:r>
      <w:r w:rsidR="00970815" w:rsidRPr="00E91EEC">
        <w:rPr>
          <w:lang w:val="sr-Latn-CS"/>
        </w:rPr>
        <w:t>pokazatelji</w:t>
      </w:r>
      <w:r w:rsidRPr="00E91EEC">
        <w:rPr>
          <w:lang w:val="sr-Latn-CS"/>
        </w:rPr>
        <w:t>ma</w:t>
      </w:r>
      <w:r w:rsidR="004119D0" w:rsidRPr="00E91EEC">
        <w:rPr>
          <w:lang w:val="sr-Latn-CS"/>
        </w:rPr>
        <w:t>. U ovom delu rada</w:t>
      </w:r>
      <w:r w:rsidR="00144EAA" w:rsidRPr="00E91EEC">
        <w:rPr>
          <w:lang w:val="sr-Latn-CS"/>
        </w:rPr>
        <w:t xml:space="preserve"> predstavljeni </w:t>
      </w:r>
      <w:r w:rsidR="004119D0" w:rsidRPr="00E91EEC">
        <w:rPr>
          <w:lang w:val="sr-Latn-CS"/>
        </w:rPr>
        <w:t xml:space="preserve">su </w:t>
      </w:r>
      <w:r w:rsidR="00144EAA" w:rsidRPr="00E91EEC">
        <w:rPr>
          <w:lang w:val="sr-Latn-CS"/>
        </w:rPr>
        <w:t>"sirovi" statistički podaci</w:t>
      </w:r>
      <w:r w:rsidRPr="00E91EEC">
        <w:rPr>
          <w:lang w:val="sr-Latn-CS"/>
        </w:rPr>
        <w:t xml:space="preserve"> bez ikakvih ekonometrijskih manipulacija</w:t>
      </w:r>
      <w:r w:rsidR="00144EAA" w:rsidRPr="00E91EEC">
        <w:rPr>
          <w:lang w:val="sr-Latn-CS"/>
        </w:rPr>
        <w:t>,</w:t>
      </w:r>
      <w:r w:rsidRPr="00E91EEC">
        <w:rPr>
          <w:lang w:val="sr-Latn-CS"/>
        </w:rPr>
        <w:t xml:space="preserve"> kako bi </w:t>
      </w:r>
      <w:r w:rsidR="00144EAA" w:rsidRPr="00E91EEC">
        <w:rPr>
          <w:lang w:val="sr-Latn-CS"/>
        </w:rPr>
        <w:t>se izbegle</w:t>
      </w:r>
      <w:r w:rsidRPr="00E91EEC">
        <w:rPr>
          <w:lang w:val="sr-Latn-CS"/>
        </w:rPr>
        <w:t xml:space="preserve"> kritike </w:t>
      </w:r>
      <w:r w:rsidR="00144EAA" w:rsidRPr="00E91EEC">
        <w:rPr>
          <w:lang w:val="sr-Latn-CS"/>
        </w:rPr>
        <w:t xml:space="preserve">na račun </w:t>
      </w:r>
      <w:r w:rsidRPr="00E91EEC">
        <w:rPr>
          <w:lang w:val="sr-Latn-CS"/>
        </w:rPr>
        <w:t>metodologij</w:t>
      </w:r>
      <w:r w:rsidR="00144EAA" w:rsidRPr="00E91EEC">
        <w:rPr>
          <w:lang w:val="sr-Latn-CS"/>
        </w:rPr>
        <w:t>e</w:t>
      </w:r>
      <w:r w:rsidRPr="00E91EEC">
        <w:rPr>
          <w:lang w:val="sr-Latn-CS"/>
        </w:rPr>
        <w:t xml:space="preserve">. Brojevi govore sami za sebe. Odeljak 3 razmatra koliko zemlje centralne i istočne Evrope </w:t>
      </w:r>
      <w:r w:rsidR="00B16CFB" w:rsidRPr="00E91EEC">
        <w:rPr>
          <w:lang w:val="sr-Latn-CS"/>
        </w:rPr>
        <w:t xml:space="preserve">zaista </w:t>
      </w:r>
      <w:r w:rsidRPr="00E91EEC">
        <w:rPr>
          <w:lang w:val="sr-Latn-CS"/>
        </w:rPr>
        <w:t>dobi</w:t>
      </w:r>
      <w:r w:rsidR="00B16CFB" w:rsidRPr="00E91EEC">
        <w:rPr>
          <w:lang w:val="sr-Latn-CS"/>
        </w:rPr>
        <w:t>ja</w:t>
      </w:r>
      <w:r w:rsidRPr="00E91EEC">
        <w:rPr>
          <w:lang w:val="sr-Latn-CS"/>
        </w:rPr>
        <w:t xml:space="preserve">ju </w:t>
      </w:r>
      <w:r w:rsidR="00B16CFB" w:rsidRPr="00E91EEC">
        <w:rPr>
          <w:lang w:val="sr-Latn-CS"/>
        </w:rPr>
        <w:t xml:space="preserve">pridruživanjem </w:t>
      </w:r>
      <w:r w:rsidRPr="00E91EEC">
        <w:rPr>
          <w:lang w:val="sr-Latn-CS"/>
        </w:rPr>
        <w:t>EU. Bre</w:t>
      </w:r>
      <w:r w:rsidR="00E36FE8" w:rsidRPr="00E91EEC">
        <w:rPr>
          <w:lang w:val="sr-Latn-CS"/>
        </w:rPr>
        <w:t>gz</w:t>
      </w:r>
      <w:r w:rsidRPr="00E91EEC">
        <w:rPr>
          <w:lang w:val="sr-Latn-CS"/>
        </w:rPr>
        <w:t xml:space="preserve">it i nova proširenja EU </w:t>
      </w:r>
      <w:r w:rsidR="00B16CFB" w:rsidRPr="00E91EEC">
        <w:rPr>
          <w:lang w:val="sr-Latn-CS"/>
        </w:rPr>
        <w:t>obrađeni</w:t>
      </w:r>
      <w:r w:rsidRPr="00E91EEC">
        <w:rPr>
          <w:lang w:val="sr-Latn-CS"/>
        </w:rPr>
        <w:t xml:space="preserve"> su u odeljku 4. Odeljak 5 je posvećen zaključcima.</w:t>
      </w:r>
    </w:p>
    <w:p w:rsidR="005967AB" w:rsidRPr="00E91EEC" w:rsidRDefault="005967AB">
      <w:pPr>
        <w:rPr>
          <w:lang w:val="sr-Latn-CS"/>
        </w:rPr>
      </w:pPr>
      <w:r w:rsidRPr="00E91EEC">
        <w:rPr>
          <w:lang w:val="sr-Latn-CS"/>
        </w:rPr>
        <w:br w:type="page"/>
      </w:r>
    </w:p>
    <w:p w:rsidR="005967AB" w:rsidRPr="00E91EEC" w:rsidRDefault="005967AB" w:rsidP="005967AB">
      <w:pPr>
        <w:rPr>
          <w:b/>
          <w:lang w:val="sr-Latn-CS"/>
        </w:rPr>
      </w:pPr>
      <w:r w:rsidRPr="00E91EEC">
        <w:rPr>
          <w:b/>
          <w:lang w:val="sr-Latn-CS"/>
        </w:rPr>
        <w:lastRenderedPageBreak/>
        <w:t>2. Ekonomski efekti</w:t>
      </w:r>
    </w:p>
    <w:p w:rsidR="005967AB" w:rsidRPr="00E91EEC" w:rsidRDefault="003F6E5D" w:rsidP="009E01A1">
      <w:pPr>
        <w:jc w:val="both"/>
        <w:rPr>
          <w:lang w:val="sr-Latn-CS"/>
        </w:rPr>
      </w:pPr>
      <w:r w:rsidRPr="00E91EEC">
        <w:rPr>
          <w:lang w:val="sr-Latn-CS"/>
        </w:rPr>
        <w:t xml:space="preserve">Podaci koji se u ovom radu analiziraju odnose se na period </w:t>
      </w:r>
      <w:r w:rsidR="005967AB" w:rsidRPr="00E91EEC">
        <w:rPr>
          <w:lang w:val="sr-Latn-CS"/>
        </w:rPr>
        <w:t xml:space="preserve">od 2000. </w:t>
      </w:r>
      <w:r w:rsidR="00424EA8" w:rsidRPr="00E91EEC">
        <w:rPr>
          <w:lang w:val="sr-Latn-CS"/>
        </w:rPr>
        <w:t>Zaključno sa</w:t>
      </w:r>
      <w:r w:rsidR="005967AB" w:rsidRPr="00E91EEC">
        <w:rPr>
          <w:lang w:val="sr-Latn-CS"/>
        </w:rPr>
        <w:t xml:space="preserve"> 2016. godine </w:t>
      </w:r>
      <w:r w:rsidR="000D4DE8" w:rsidRPr="00E91EEC">
        <w:rPr>
          <w:lang w:val="sr-Latn-CS"/>
        </w:rPr>
        <w:t>za</w:t>
      </w:r>
      <w:r w:rsidR="005967AB" w:rsidRPr="00E91EEC">
        <w:rPr>
          <w:lang w:val="sr-Latn-CS"/>
        </w:rPr>
        <w:t xml:space="preserve"> sve zemlje za koje su dostupni uporedni podaci (</w:t>
      </w:r>
      <w:r w:rsidR="006C38C2" w:rsidRPr="00E91EEC">
        <w:rPr>
          <w:lang w:val="sr-Latn-CS"/>
        </w:rPr>
        <w:t>Prilog</w:t>
      </w:r>
      <w:r w:rsidR="005967AB" w:rsidRPr="00E91EEC">
        <w:rPr>
          <w:lang w:val="sr-Latn-CS"/>
        </w:rPr>
        <w:t xml:space="preserve"> 1). </w:t>
      </w:r>
      <w:r w:rsidRPr="00E91EEC">
        <w:rPr>
          <w:lang w:val="sr-Latn-CS"/>
        </w:rPr>
        <w:t xml:space="preserve">Jedan od glavnih ekonomskih pokazatelja zdravlja svake privrede je, svakako, stopa rasta </w:t>
      </w:r>
      <w:r w:rsidR="000D4DE8" w:rsidRPr="00E91EEC">
        <w:rPr>
          <w:lang w:val="sr-Latn-CS"/>
        </w:rPr>
        <w:t>bruto drustvenog proizvoda (</w:t>
      </w:r>
      <w:r w:rsidRPr="00E91EEC">
        <w:rPr>
          <w:lang w:val="sr-Latn-CS"/>
        </w:rPr>
        <w:t>BDP</w:t>
      </w:r>
      <w:r w:rsidR="000D4DE8" w:rsidRPr="00E91EEC">
        <w:rPr>
          <w:lang w:val="sr-Latn-CS"/>
        </w:rPr>
        <w:t>)</w:t>
      </w:r>
      <w:r w:rsidRPr="00E91EEC">
        <w:rPr>
          <w:lang w:val="sr-Latn-CS"/>
        </w:rPr>
        <w:t xml:space="preserve"> (tabela 1). </w:t>
      </w:r>
      <w:r w:rsidR="005967AB" w:rsidRPr="00E91EEC">
        <w:rPr>
          <w:lang w:val="sr-Latn-CS"/>
        </w:rPr>
        <w:t>Jasno se vidi da BDP novih</w:t>
      </w:r>
      <w:r w:rsidRPr="00E91EEC">
        <w:rPr>
          <w:lang w:val="sr-Latn-CS"/>
        </w:rPr>
        <w:t xml:space="preserve"> članica</w:t>
      </w:r>
      <w:r w:rsidR="005967AB" w:rsidRPr="00E91EEC">
        <w:rPr>
          <w:lang w:val="sr-Latn-CS"/>
        </w:rPr>
        <w:t xml:space="preserve"> EU raste brže od </w:t>
      </w:r>
      <w:r w:rsidRPr="00E91EEC">
        <w:rPr>
          <w:lang w:val="sr-Latn-CS"/>
        </w:rPr>
        <w:t xml:space="preserve">BDP-a </w:t>
      </w:r>
      <w:r w:rsidR="005967AB" w:rsidRPr="00E91EEC">
        <w:rPr>
          <w:lang w:val="sr-Latn-CS"/>
        </w:rPr>
        <w:t>starih</w:t>
      </w:r>
      <w:r w:rsidRPr="00E91EEC">
        <w:rPr>
          <w:lang w:val="sr-Latn-CS"/>
        </w:rPr>
        <w:t xml:space="preserve"> članica</w:t>
      </w:r>
      <w:r w:rsidR="000D4DE8" w:rsidRPr="00E91EEC">
        <w:rPr>
          <w:lang w:val="sr-Latn-CS"/>
        </w:rPr>
        <w:t xml:space="preserve"> EU</w:t>
      </w:r>
      <w:r w:rsidR="005967AB" w:rsidRPr="00E91EEC">
        <w:rPr>
          <w:lang w:val="sr-Latn-CS"/>
        </w:rPr>
        <w:t xml:space="preserve">, </w:t>
      </w:r>
      <w:r w:rsidRPr="00E91EEC">
        <w:rPr>
          <w:lang w:val="sr-Latn-CS"/>
        </w:rPr>
        <w:t>naročito</w:t>
      </w:r>
      <w:r w:rsidR="005967AB" w:rsidRPr="00E91EEC">
        <w:rPr>
          <w:lang w:val="sr-Latn-CS"/>
        </w:rPr>
        <w:t xml:space="preserve"> pre </w:t>
      </w:r>
      <w:r w:rsidR="000D4DE8" w:rsidRPr="00E91EEC">
        <w:rPr>
          <w:lang w:val="sr-Latn-CS"/>
        </w:rPr>
        <w:t xml:space="preserve">globalne finansijske </w:t>
      </w:r>
      <w:r w:rsidR="005967AB" w:rsidRPr="00E91EEC">
        <w:rPr>
          <w:lang w:val="sr-Latn-CS"/>
        </w:rPr>
        <w:t>krize</w:t>
      </w:r>
      <w:r w:rsidRPr="00E91EEC">
        <w:rPr>
          <w:lang w:val="sr-Latn-CS"/>
        </w:rPr>
        <w:t xml:space="preserve"> koja je nastupila</w:t>
      </w:r>
      <w:r w:rsidR="005967AB" w:rsidRPr="00E91EEC">
        <w:rPr>
          <w:lang w:val="sr-Latn-CS"/>
        </w:rPr>
        <w:t xml:space="preserve"> 2008. godine. </w:t>
      </w:r>
      <w:r w:rsidRPr="00E91EEC">
        <w:rPr>
          <w:lang w:val="sr-Latn-CS"/>
        </w:rPr>
        <w:t>Ovo je dobra vest, međutim, ona ima dva aspekta. Prvi</w:t>
      </w:r>
      <w:r w:rsidR="005967AB" w:rsidRPr="00E91EEC">
        <w:rPr>
          <w:lang w:val="sr-Latn-CS"/>
        </w:rPr>
        <w:t xml:space="preserve"> </w:t>
      </w:r>
      <w:r w:rsidRPr="00E91EEC">
        <w:rPr>
          <w:lang w:val="sr-Latn-CS"/>
        </w:rPr>
        <w:t xml:space="preserve">aspekt je ekonomska ekspanzija novih članica. </w:t>
      </w:r>
      <w:r w:rsidR="005967AB" w:rsidRPr="00E91EEC">
        <w:rPr>
          <w:lang w:val="sr-Latn-CS"/>
        </w:rPr>
        <w:t>Drug</w:t>
      </w:r>
      <w:r w:rsidRPr="00E91EEC">
        <w:rPr>
          <w:lang w:val="sr-Latn-CS"/>
        </w:rPr>
        <w:t xml:space="preserve">i aspekt predstavlja činjenica da je ubrzani rast posledica </w:t>
      </w:r>
      <w:r w:rsidR="00371142" w:rsidRPr="00E91EEC">
        <w:rPr>
          <w:lang w:val="sr-Latn-CS"/>
        </w:rPr>
        <w:t xml:space="preserve">vrlo </w:t>
      </w:r>
      <w:r w:rsidRPr="00E91EEC">
        <w:rPr>
          <w:lang w:val="sr-Latn-CS"/>
        </w:rPr>
        <w:t>niskog početnog nivoa</w:t>
      </w:r>
      <w:r w:rsidR="009E01A1" w:rsidRPr="00E91EEC">
        <w:rPr>
          <w:lang w:val="sr-Latn-CS"/>
        </w:rPr>
        <w:t xml:space="preserve"> </w:t>
      </w:r>
      <w:r w:rsidRPr="00E91EEC">
        <w:rPr>
          <w:lang w:val="sr-Latn-CS"/>
        </w:rPr>
        <w:t xml:space="preserve">BDP-a </w:t>
      </w:r>
      <w:r w:rsidR="009E01A1" w:rsidRPr="00E91EEC">
        <w:rPr>
          <w:lang w:val="sr-Latn-CS"/>
        </w:rPr>
        <w:t>u poređenju sa Zapadom</w:t>
      </w:r>
      <w:r w:rsidR="00371142" w:rsidRPr="00E91EEC">
        <w:rPr>
          <w:lang w:val="sr-Latn-CS"/>
        </w:rPr>
        <w:t xml:space="preserve"> EU</w:t>
      </w:r>
      <w:r w:rsidR="009E01A1" w:rsidRPr="00E91EEC">
        <w:rPr>
          <w:lang w:val="sr-Latn-CS"/>
        </w:rPr>
        <w:t xml:space="preserve">, kao i novih ekonomskih </w:t>
      </w:r>
      <w:r w:rsidR="00371142" w:rsidRPr="00E91EEC">
        <w:rPr>
          <w:lang w:val="sr-Latn-CS"/>
        </w:rPr>
        <w:t>mogućnosti</w:t>
      </w:r>
      <w:r w:rsidR="009E01A1" w:rsidRPr="00E91EEC">
        <w:rPr>
          <w:lang w:val="sr-Latn-CS"/>
        </w:rPr>
        <w:t xml:space="preserve"> koje su se otvorile, a nisu bile dostupne novim članicama pre priključivanja</w:t>
      </w:r>
      <w:r w:rsidR="00371142" w:rsidRPr="00E91EEC">
        <w:rPr>
          <w:lang w:val="sr-Latn-CS"/>
        </w:rPr>
        <w:t xml:space="preserve"> EU</w:t>
      </w:r>
      <w:r w:rsidR="009E01A1" w:rsidRPr="00E91EEC">
        <w:rPr>
          <w:lang w:val="sr-Latn-CS"/>
        </w:rPr>
        <w:t xml:space="preserve">. </w:t>
      </w:r>
      <w:r w:rsidR="005967AB" w:rsidRPr="00E91EEC">
        <w:rPr>
          <w:lang w:val="sr-Latn-CS"/>
        </w:rPr>
        <w:t>Kriza 2008</w:t>
      </w:r>
      <w:r w:rsidR="009E01A1" w:rsidRPr="00E91EEC">
        <w:rPr>
          <w:lang w:val="sr-Latn-CS"/>
        </w:rPr>
        <w:t xml:space="preserve">. godine je snažno pogodila region i uzrokovala je </w:t>
      </w:r>
      <w:r w:rsidR="005967AB" w:rsidRPr="00E91EEC">
        <w:rPr>
          <w:lang w:val="sr-Latn-CS"/>
        </w:rPr>
        <w:t xml:space="preserve">negativne stope rasta u 2009. godini. Ipak, u narednom periodu stope rasta su se </w:t>
      </w:r>
      <w:r w:rsidR="009E01A1" w:rsidRPr="00E91EEC">
        <w:rPr>
          <w:lang w:val="sr-Latn-CS"/>
        </w:rPr>
        <w:t>popravile</w:t>
      </w:r>
      <w:r w:rsidR="005967AB" w:rsidRPr="00E91EEC">
        <w:rPr>
          <w:lang w:val="sr-Latn-CS"/>
        </w:rPr>
        <w:t xml:space="preserve">, ali uopšteno gledano, nisu dostigle </w:t>
      </w:r>
      <w:r w:rsidR="009E01A1" w:rsidRPr="00E91EEC">
        <w:rPr>
          <w:lang w:val="sr-Latn-CS"/>
        </w:rPr>
        <w:t>brzinu rasta</w:t>
      </w:r>
      <w:r w:rsidR="005967AB" w:rsidRPr="00E91EEC">
        <w:rPr>
          <w:lang w:val="sr-Latn-CS"/>
        </w:rPr>
        <w:t xml:space="preserve"> koj</w:t>
      </w:r>
      <w:r w:rsidR="009E01A1" w:rsidRPr="00E91EEC">
        <w:rPr>
          <w:lang w:val="sr-Latn-CS"/>
        </w:rPr>
        <w:t xml:space="preserve">u </w:t>
      </w:r>
      <w:r w:rsidR="005967AB" w:rsidRPr="00E91EEC">
        <w:rPr>
          <w:lang w:val="sr-Latn-CS"/>
        </w:rPr>
        <w:t>su ima</w:t>
      </w:r>
      <w:r w:rsidR="009E01A1" w:rsidRPr="00E91EEC">
        <w:rPr>
          <w:lang w:val="sr-Latn-CS"/>
        </w:rPr>
        <w:t>le</w:t>
      </w:r>
      <w:r w:rsidR="005967AB" w:rsidRPr="00E91EEC">
        <w:rPr>
          <w:lang w:val="sr-Latn-CS"/>
        </w:rPr>
        <w:t xml:space="preserve"> pre krize. Ipak, opšta slika je veoma pozitivna: nove zemlje EU su imale </w:t>
      </w:r>
      <w:r w:rsidR="00CF09AF" w:rsidRPr="00E91EEC">
        <w:rPr>
          <w:lang w:val="sr-Latn-CS"/>
        </w:rPr>
        <w:t>značajan</w:t>
      </w:r>
      <w:r w:rsidR="005967AB" w:rsidRPr="00E91EEC">
        <w:rPr>
          <w:lang w:val="sr-Latn-CS"/>
        </w:rPr>
        <w:t xml:space="preserve"> ekonomski rast. Njihove</w:t>
      </w:r>
      <w:r w:rsidR="009E01A1" w:rsidRPr="00E91EEC">
        <w:rPr>
          <w:lang w:val="sr-Latn-CS"/>
        </w:rPr>
        <w:t xml:space="preserve"> privrede su napredovale. </w:t>
      </w:r>
    </w:p>
    <w:p w:rsidR="005967AB" w:rsidRPr="00E91EEC" w:rsidRDefault="003D17DB" w:rsidP="001A3447">
      <w:pPr>
        <w:jc w:val="both"/>
        <w:rPr>
          <w:lang w:val="sr-Latn-CS"/>
        </w:rPr>
      </w:pPr>
      <w:r w:rsidRPr="00E91EEC">
        <w:rPr>
          <w:lang w:val="sr-Latn-CS"/>
        </w:rPr>
        <w:t>Iz tabele</w:t>
      </w:r>
      <w:r w:rsidR="00573E13" w:rsidRPr="00E91EEC">
        <w:rPr>
          <w:lang w:val="sr-Latn-CS"/>
        </w:rPr>
        <w:t xml:space="preserve"> 2</w:t>
      </w:r>
      <w:r w:rsidRPr="00E91EEC">
        <w:rPr>
          <w:lang w:val="sr-Latn-CS"/>
        </w:rPr>
        <w:t xml:space="preserve"> može se videti da je izvoz bio pokretač rasta u novim članicama EU. M</w:t>
      </w:r>
      <w:r w:rsidR="00CF09AF" w:rsidRPr="00E91EEC">
        <w:rPr>
          <w:lang w:val="sr-Latn-CS"/>
        </w:rPr>
        <w:t>ogućnosti</w:t>
      </w:r>
      <w:r w:rsidR="005967AB" w:rsidRPr="00E91EEC">
        <w:rPr>
          <w:lang w:val="sr-Latn-CS"/>
        </w:rPr>
        <w:t xml:space="preserve"> </w:t>
      </w:r>
      <w:r w:rsidRPr="00E91EEC">
        <w:rPr>
          <w:lang w:val="sr-Latn-CS"/>
        </w:rPr>
        <w:t>za trgovinu koje su se otvorile priključivanjem, kao i ekonomsko</w:t>
      </w:r>
      <w:r w:rsidR="005967AB" w:rsidRPr="00E91EEC">
        <w:rPr>
          <w:lang w:val="sr-Latn-CS"/>
        </w:rPr>
        <w:t xml:space="preserve"> </w:t>
      </w:r>
      <w:r w:rsidRPr="00E91EEC">
        <w:rPr>
          <w:lang w:val="sr-Latn-CS"/>
        </w:rPr>
        <w:t>restrukturiranje, obezbedile su osnovu za rast</w:t>
      </w:r>
      <w:r w:rsidR="005967AB" w:rsidRPr="00E91EEC">
        <w:rPr>
          <w:lang w:val="sr-Latn-CS"/>
        </w:rPr>
        <w:t xml:space="preserve"> izvoza. Izvoz se </w:t>
      </w:r>
      <w:r w:rsidR="00CF09AF" w:rsidRPr="00E91EEC">
        <w:rPr>
          <w:lang w:val="sr-Latn-CS"/>
        </w:rPr>
        <w:t>povećao</w:t>
      </w:r>
      <w:r w:rsidR="005967AB" w:rsidRPr="00E91EEC">
        <w:rPr>
          <w:lang w:val="sr-Latn-CS"/>
        </w:rPr>
        <w:t xml:space="preserve"> nekoliko puta </w:t>
      </w:r>
      <w:r w:rsidRPr="00E91EEC">
        <w:rPr>
          <w:lang w:val="sr-Latn-CS"/>
        </w:rPr>
        <w:t xml:space="preserve">u posmatranom periodu. </w:t>
      </w:r>
      <w:r w:rsidR="00CF09AF" w:rsidRPr="00E91EEC">
        <w:rPr>
          <w:lang w:val="sr-Latn-CS"/>
        </w:rPr>
        <w:t>Ovo je sjajna v</w:t>
      </w:r>
      <w:r w:rsidR="005967AB" w:rsidRPr="00E91EEC">
        <w:rPr>
          <w:lang w:val="sr-Latn-CS"/>
        </w:rPr>
        <w:t xml:space="preserve">est, jer </w:t>
      </w:r>
      <w:r w:rsidR="00CF09AF" w:rsidRPr="00E91EEC">
        <w:rPr>
          <w:lang w:val="sr-Latn-CS"/>
        </w:rPr>
        <w:t>ukazuje na uspešnost tranzicije</w:t>
      </w:r>
      <w:r w:rsidR="005967AB" w:rsidRPr="00E91EEC">
        <w:rPr>
          <w:lang w:val="sr-Latn-CS"/>
        </w:rPr>
        <w:t xml:space="preserve"> u novim zemljama EU. </w:t>
      </w:r>
      <w:r w:rsidRPr="00E91EEC">
        <w:rPr>
          <w:lang w:val="sr-Latn-CS"/>
        </w:rPr>
        <w:t xml:space="preserve">Međutim, kao što je prikazano u tabeli 3, uvoz se takođe povećao. Povećanje uvoza je, generalno, bilo veće od povećanja izvoza u posmatranim državama. </w:t>
      </w:r>
      <w:r w:rsidR="00B44E80" w:rsidRPr="00E91EEC">
        <w:rPr>
          <w:lang w:val="sr-Latn-CS"/>
        </w:rPr>
        <w:t>Potrošači i preduzeća na istoku dobili su veći izbor</w:t>
      </w:r>
      <w:r w:rsidR="005967AB" w:rsidRPr="00E91EEC">
        <w:rPr>
          <w:lang w:val="sr-Latn-CS"/>
        </w:rPr>
        <w:t xml:space="preserve"> </w:t>
      </w:r>
      <w:r w:rsidR="00121825" w:rsidRPr="00E91EEC">
        <w:rPr>
          <w:lang w:val="sr-Latn-CS"/>
        </w:rPr>
        <w:t>finalnih roba</w:t>
      </w:r>
      <w:r w:rsidR="005967AB" w:rsidRPr="00E91EEC">
        <w:rPr>
          <w:lang w:val="sr-Latn-CS"/>
        </w:rPr>
        <w:t xml:space="preserve"> i inputa</w:t>
      </w:r>
      <w:r w:rsidR="00121825" w:rsidRPr="00E91EEC">
        <w:rPr>
          <w:lang w:val="sr-Latn-CS"/>
        </w:rPr>
        <w:t xml:space="preserve"> za proizvodnju</w:t>
      </w:r>
      <w:r w:rsidR="005967AB" w:rsidRPr="00E91EEC">
        <w:rPr>
          <w:lang w:val="sr-Latn-CS"/>
        </w:rPr>
        <w:t xml:space="preserve">. </w:t>
      </w:r>
      <w:r w:rsidR="00B44E80" w:rsidRPr="00E91EEC">
        <w:rPr>
          <w:lang w:val="sr-Latn-CS"/>
        </w:rPr>
        <w:t xml:space="preserve">Ovo može, na prvi pogled, smatrati pozitivnim ishodom jer se koristi od trgovine prvenstveno ogledaju u povećanju obima trgovine. Međutim, </w:t>
      </w:r>
      <w:r w:rsidR="001A3447" w:rsidRPr="00E91EEC">
        <w:rPr>
          <w:lang w:val="sr-Latn-CS"/>
        </w:rPr>
        <w:t xml:space="preserve">uvidom u trgovinske bilanse (tabela 4), zapaža se da su ostvareni deficiti </w:t>
      </w:r>
      <w:r w:rsidR="00CF09AF" w:rsidRPr="00E91EEC">
        <w:rPr>
          <w:lang w:val="sr-Latn-CS"/>
        </w:rPr>
        <w:t>(</w:t>
      </w:r>
      <w:r w:rsidR="008F6BC9" w:rsidRPr="00E91EEC">
        <w:rPr>
          <w:lang w:val="sr-Latn-CS"/>
        </w:rPr>
        <w:t xml:space="preserve">povećana </w:t>
      </w:r>
      <w:r w:rsidR="00CF09AF" w:rsidRPr="00E91EEC">
        <w:rPr>
          <w:lang w:val="sr-Latn-CS"/>
        </w:rPr>
        <w:t>domaća potrošnja) morali su da budu finansirani, što predstavlja ograničenje u trgovanju.</w:t>
      </w:r>
    </w:p>
    <w:p w:rsidR="005967AB" w:rsidRPr="00E91EEC" w:rsidRDefault="005967AB" w:rsidP="00BB3A79">
      <w:pPr>
        <w:jc w:val="both"/>
        <w:rPr>
          <w:lang w:val="sr-Latn-CS"/>
        </w:rPr>
      </w:pPr>
      <w:r w:rsidRPr="00E91EEC">
        <w:rPr>
          <w:lang w:val="sr-Latn-CS"/>
        </w:rPr>
        <w:t xml:space="preserve">Uspešna preorijentacija trgovine prema EU, a naročito prema Nemačkoj, ima negativne posledice. </w:t>
      </w:r>
      <w:r w:rsidR="001A3447" w:rsidRPr="00E91EEC">
        <w:rPr>
          <w:lang w:val="sr-Latn-CS"/>
        </w:rPr>
        <w:t xml:space="preserve">Ukoliko se </w:t>
      </w:r>
      <w:r w:rsidRPr="00E91EEC">
        <w:rPr>
          <w:lang w:val="sr-Latn-CS"/>
        </w:rPr>
        <w:t xml:space="preserve">previše oslanja na jednog inostranog partnera, zemlja </w:t>
      </w:r>
      <w:r w:rsidR="00CF09AF" w:rsidRPr="00E91EEC">
        <w:rPr>
          <w:lang w:val="sr-Latn-CS"/>
        </w:rPr>
        <w:t>ima</w:t>
      </w:r>
      <w:r w:rsidRPr="00E91EEC">
        <w:rPr>
          <w:lang w:val="sr-Latn-CS"/>
        </w:rPr>
        <w:t xml:space="preserve"> slabiju kontrolu nad sopstvenom ekonomijom tokom krize. Slovačka, svetski šampion u proizvodnji automobila po stanovniku, posebno je ugrožena, jer </w:t>
      </w:r>
      <w:r w:rsidR="001A3447" w:rsidRPr="00E91EEC">
        <w:rPr>
          <w:lang w:val="sr-Latn-CS"/>
        </w:rPr>
        <w:t xml:space="preserve">je </w:t>
      </w:r>
      <w:r w:rsidRPr="00E91EEC">
        <w:rPr>
          <w:lang w:val="sr-Latn-CS"/>
        </w:rPr>
        <w:t>gotovo ceo</w:t>
      </w:r>
      <w:r w:rsidR="001A3447" w:rsidRPr="00E91EEC">
        <w:rPr>
          <w:lang w:val="sr-Latn-CS"/>
        </w:rPr>
        <w:t xml:space="preserve"> njen BDP </w:t>
      </w:r>
      <w:r w:rsidRPr="00E91EEC">
        <w:rPr>
          <w:lang w:val="sr-Latn-CS"/>
        </w:rPr>
        <w:t xml:space="preserve">povezan sa izvozom. U </w:t>
      </w:r>
      <w:r w:rsidR="00CF09AF" w:rsidRPr="00E91EEC">
        <w:rPr>
          <w:lang w:val="sr-Latn-CS"/>
        </w:rPr>
        <w:t>vreme</w:t>
      </w:r>
      <w:r w:rsidRPr="00E91EEC">
        <w:rPr>
          <w:lang w:val="sr-Latn-CS"/>
        </w:rPr>
        <w:t xml:space="preserve"> krize ili velikih šokova, </w:t>
      </w:r>
      <w:r w:rsidR="001A3447" w:rsidRPr="00E91EEC">
        <w:rPr>
          <w:lang w:val="sr-Latn-CS"/>
        </w:rPr>
        <w:t>smanjenje</w:t>
      </w:r>
      <w:r w:rsidRPr="00E91EEC">
        <w:rPr>
          <w:lang w:val="sr-Latn-CS"/>
        </w:rPr>
        <w:t xml:space="preserve"> tražnje za nemačkom robom direktno bi </w:t>
      </w:r>
      <w:r w:rsidR="00BB3A79" w:rsidRPr="00E91EEC">
        <w:rPr>
          <w:lang w:val="sr-Latn-CS"/>
        </w:rPr>
        <w:t>uslovilo</w:t>
      </w:r>
      <w:r w:rsidRPr="00E91EEC">
        <w:rPr>
          <w:lang w:val="sr-Latn-CS"/>
        </w:rPr>
        <w:t xml:space="preserve"> </w:t>
      </w:r>
      <w:r w:rsidR="001A3447" w:rsidRPr="00E91EEC">
        <w:rPr>
          <w:lang w:val="sr-Latn-CS"/>
        </w:rPr>
        <w:t>smanjenje</w:t>
      </w:r>
      <w:r w:rsidRPr="00E91EEC">
        <w:rPr>
          <w:lang w:val="sr-Latn-CS"/>
        </w:rPr>
        <w:t xml:space="preserve"> tražnje za izvozom</w:t>
      </w:r>
      <w:r w:rsidR="00BB3A79" w:rsidRPr="00E91EEC">
        <w:rPr>
          <w:lang w:val="sr-Latn-CS"/>
        </w:rPr>
        <w:t xml:space="preserve"> robe iz centralne i istočne Evrope</w:t>
      </w:r>
      <w:r w:rsidRPr="00E91EEC">
        <w:rPr>
          <w:lang w:val="sr-Latn-CS"/>
        </w:rPr>
        <w:t>,</w:t>
      </w:r>
      <w:r w:rsidR="00BB3A79" w:rsidRPr="00E91EEC">
        <w:rPr>
          <w:lang w:val="sr-Latn-CS"/>
        </w:rPr>
        <w:t xml:space="preserve"> a posledično i smanjenje proizvodnje i zaposlenosti u ovim državama.</w:t>
      </w:r>
    </w:p>
    <w:p w:rsidR="005967AB" w:rsidRPr="00E91EEC" w:rsidRDefault="005967AB" w:rsidP="00C03664">
      <w:pPr>
        <w:jc w:val="both"/>
        <w:rPr>
          <w:rFonts w:cstheme="minorHAnsi"/>
          <w:lang w:val="sr-Latn-CS"/>
        </w:rPr>
      </w:pPr>
      <w:r w:rsidRPr="00E91EEC">
        <w:rPr>
          <w:rFonts w:cstheme="minorHAnsi"/>
          <w:lang w:val="sr-Latn-CS"/>
        </w:rPr>
        <w:t xml:space="preserve">Ekonomska tranzicija i ulazak u EU </w:t>
      </w:r>
      <w:r w:rsidR="00BB3A79" w:rsidRPr="00E91EEC">
        <w:rPr>
          <w:rFonts w:cstheme="minorHAnsi"/>
          <w:lang w:val="sr-Latn-CS"/>
        </w:rPr>
        <w:t>podstakli su</w:t>
      </w:r>
      <w:r w:rsidRPr="00E91EEC">
        <w:rPr>
          <w:rFonts w:cstheme="minorHAnsi"/>
          <w:lang w:val="sr-Latn-CS"/>
        </w:rPr>
        <w:t xml:space="preserve"> </w:t>
      </w:r>
      <w:r w:rsidR="00FF18D5" w:rsidRPr="00E91EEC">
        <w:rPr>
          <w:rFonts w:cstheme="minorHAnsi"/>
          <w:lang w:val="sr-Latn-CS"/>
        </w:rPr>
        <w:t>strane direktne investicije (</w:t>
      </w:r>
      <w:r w:rsidRPr="00E91EEC">
        <w:rPr>
          <w:rFonts w:cstheme="minorHAnsi"/>
          <w:lang w:val="sr-Latn-CS"/>
        </w:rPr>
        <w:t>SDI</w:t>
      </w:r>
      <w:r w:rsidR="00FF18D5" w:rsidRPr="00E91EEC">
        <w:rPr>
          <w:rFonts w:cstheme="minorHAnsi"/>
          <w:lang w:val="sr-Latn-CS"/>
        </w:rPr>
        <w:t>)</w:t>
      </w:r>
      <w:r w:rsidRPr="00E91EEC">
        <w:rPr>
          <w:rFonts w:cstheme="minorHAnsi"/>
          <w:lang w:val="sr-Latn-CS"/>
        </w:rPr>
        <w:t xml:space="preserve"> u novim </w:t>
      </w:r>
      <w:r w:rsidR="00BB3A79" w:rsidRPr="00E91EEC">
        <w:rPr>
          <w:rFonts w:cstheme="minorHAnsi"/>
          <w:lang w:val="sr-Latn-CS"/>
        </w:rPr>
        <w:t>članicama</w:t>
      </w:r>
      <w:r w:rsidRPr="00E91EEC">
        <w:rPr>
          <w:rFonts w:cstheme="minorHAnsi"/>
          <w:lang w:val="sr-Latn-CS"/>
        </w:rPr>
        <w:t xml:space="preserve"> EU (Tabela 5). Poljska, Mađarska, Češka i Rumunija su </w:t>
      </w:r>
      <w:r w:rsidR="00CF09AF" w:rsidRPr="00E91EEC">
        <w:rPr>
          <w:rFonts w:cstheme="minorHAnsi"/>
          <w:lang w:val="sr-Latn-CS"/>
        </w:rPr>
        <w:t xml:space="preserve">postale </w:t>
      </w:r>
      <w:r w:rsidRPr="00E91EEC">
        <w:rPr>
          <w:rFonts w:cstheme="minorHAnsi"/>
          <w:lang w:val="sr-Latn-CS"/>
        </w:rPr>
        <w:t>glavn</w:t>
      </w:r>
      <w:r w:rsidR="008F6BC9" w:rsidRPr="00E91EEC">
        <w:rPr>
          <w:rFonts w:cstheme="minorHAnsi"/>
          <w:lang w:val="sr-Latn-CS"/>
        </w:rPr>
        <w:t>a odredišta</w:t>
      </w:r>
      <w:r w:rsidR="00CF09AF" w:rsidRPr="00E91EEC">
        <w:rPr>
          <w:rFonts w:cstheme="minorHAnsi"/>
          <w:lang w:val="sr-Latn-CS"/>
        </w:rPr>
        <w:t xml:space="preserve"> </w:t>
      </w:r>
      <w:r w:rsidRPr="00E91EEC">
        <w:rPr>
          <w:rFonts w:cstheme="minorHAnsi"/>
          <w:lang w:val="sr-Latn-CS"/>
        </w:rPr>
        <w:t>z</w:t>
      </w:r>
      <w:r w:rsidR="00BB3A79" w:rsidRPr="00E91EEC">
        <w:rPr>
          <w:rFonts w:cstheme="minorHAnsi"/>
          <w:lang w:val="sr-Latn-CS"/>
        </w:rPr>
        <w:t>a strane investitore. Članstvo u EU, r</w:t>
      </w:r>
      <w:r w:rsidRPr="00E91EEC">
        <w:rPr>
          <w:rFonts w:cstheme="minorHAnsi"/>
          <w:lang w:val="sr-Latn-CS"/>
        </w:rPr>
        <w:t xml:space="preserve">elativno velika </w:t>
      </w:r>
      <w:r w:rsidR="00CF09AF" w:rsidRPr="00E91EEC">
        <w:rPr>
          <w:rFonts w:cstheme="minorHAnsi"/>
          <w:lang w:val="sr-Latn-CS"/>
        </w:rPr>
        <w:t>domaća</w:t>
      </w:r>
      <w:r w:rsidRPr="00E91EEC">
        <w:rPr>
          <w:rFonts w:cstheme="minorHAnsi"/>
          <w:lang w:val="sr-Latn-CS"/>
        </w:rPr>
        <w:t xml:space="preserve"> tržišta i relativno produktivn</w:t>
      </w:r>
      <w:r w:rsidR="00BB3A79" w:rsidRPr="00E91EEC">
        <w:rPr>
          <w:rFonts w:cstheme="minorHAnsi"/>
          <w:lang w:val="sr-Latn-CS"/>
        </w:rPr>
        <w:t>a</w:t>
      </w:r>
      <w:r w:rsidRPr="00E91EEC">
        <w:rPr>
          <w:rFonts w:cstheme="minorHAnsi"/>
          <w:lang w:val="sr-Latn-CS"/>
        </w:rPr>
        <w:t xml:space="preserve"> i jeftin</w:t>
      </w:r>
      <w:r w:rsidR="00BB3A79" w:rsidRPr="00E91EEC">
        <w:rPr>
          <w:rFonts w:cstheme="minorHAnsi"/>
          <w:lang w:val="sr-Latn-CS"/>
        </w:rPr>
        <w:t>a</w:t>
      </w:r>
      <w:r w:rsidRPr="00E91EEC">
        <w:rPr>
          <w:rFonts w:cstheme="minorHAnsi"/>
          <w:lang w:val="sr-Latn-CS"/>
        </w:rPr>
        <w:t xml:space="preserve"> radn</w:t>
      </w:r>
      <w:r w:rsidR="00BB3A79" w:rsidRPr="00E91EEC">
        <w:rPr>
          <w:rFonts w:cstheme="minorHAnsi"/>
          <w:lang w:val="sr-Latn-CS"/>
        </w:rPr>
        <w:t>a</w:t>
      </w:r>
      <w:r w:rsidRPr="00E91EEC">
        <w:rPr>
          <w:rFonts w:cstheme="minorHAnsi"/>
          <w:lang w:val="sr-Latn-CS"/>
        </w:rPr>
        <w:t xml:space="preserve"> snag</w:t>
      </w:r>
      <w:r w:rsidR="00BB3A79" w:rsidRPr="00E91EEC">
        <w:rPr>
          <w:rFonts w:cstheme="minorHAnsi"/>
          <w:lang w:val="sr-Latn-CS"/>
        </w:rPr>
        <w:t>a</w:t>
      </w:r>
      <w:r w:rsidR="00BB3A79" w:rsidRPr="00E91EEC">
        <w:rPr>
          <w:rStyle w:val="FootnoteReference"/>
          <w:rFonts w:cstheme="minorHAnsi"/>
          <w:sz w:val="24"/>
          <w:szCs w:val="24"/>
          <w:lang w:val="sr-Latn-CS"/>
        </w:rPr>
        <w:footnoteReference w:id="4"/>
      </w:r>
      <w:r w:rsidR="00BB3A79" w:rsidRPr="00E91EEC">
        <w:rPr>
          <w:rFonts w:cstheme="minorHAnsi"/>
          <w:sz w:val="24"/>
          <w:szCs w:val="24"/>
          <w:lang w:val="sr-Latn-CS"/>
        </w:rPr>
        <w:t xml:space="preserve"> </w:t>
      </w:r>
      <w:r w:rsidR="00BB3A79" w:rsidRPr="00E91EEC">
        <w:rPr>
          <w:rFonts w:cstheme="minorHAnsi"/>
          <w:lang w:val="sr-Latn-CS"/>
        </w:rPr>
        <w:t xml:space="preserve"> bili su ključni faktori u privlačenju</w:t>
      </w:r>
      <w:r w:rsidRPr="00E91EEC">
        <w:rPr>
          <w:rFonts w:cstheme="minorHAnsi"/>
          <w:lang w:val="sr-Latn-CS"/>
        </w:rPr>
        <w:t xml:space="preserve"> </w:t>
      </w:r>
      <w:r w:rsidR="00FF18D5" w:rsidRPr="00E91EEC">
        <w:rPr>
          <w:rFonts w:cstheme="minorHAnsi"/>
          <w:lang w:val="sr-Latn-CS"/>
        </w:rPr>
        <w:t>investicija</w:t>
      </w:r>
      <w:r w:rsidRPr="00E91EEC">
        <w:rPr>
          <w:rFonts w:cstheme="minorHAnsi"/>
          <w:lang w:val="sr-Latn-CS"/>
        </w:rPr>
        <w:t xml:space="preserve">. U svakom slučaju, </w:t>
      </w:r>
      <w:r w:rsidR="00FF18D5" w:rsidRPr="00E91EEC">
        <w:rPr>
          <w:rFonts w:cstheme="minorHAnsi"/>
          <w:lang w:val="sr-Latn-CS"/>
        </w:rPr>
        <w:t>povećanje</w:t>
      </w:r>
      <w:r w:rsidRPr="00E91EEC">
        <w:rPr>
          <w:rFonts w:cstheme="minorHAnsi"/>
          <w:lang w:val="sr-Latn-CS"/>
        </w:rPr>
        <w:t xml:space="preserve"> </w:t>
      </w:r>
      <w:r w:rsidR="00BB3A79" w:rsidRPr="00E91EEC">
        <w:rPr>
          <w:rFonts w:cstheme="minorHAnsi"/>
          <w:lang w:val="sr-Latn-CS"/>
        </w:rPr>
        <w:t>SDI</w:t>
      </w:r>
      <w:r w:rsidRPr="00E91EEC">
        <w:rPr>
          <w:rFonts w:cstheme="minorHAnsi"/>
          <w:lang w:val="sr-Latn-CS"/>
        </w:rPr>
        <w:t xml:space="preserve"> u regionu </w:t>
      </w:r>
      <w:r w:rsidR="00FF18D5" w:rsidRPr="00E91EEC">
        <w:rPr>
          <w:rFonts w:cstheme="minorHAnsi"/>
          <w:lang w:val="sr-Latn-CS"/>
        </w:rPr>
        <w:t>pomoglo</w:t>
      </w:r>
      <w:r w:rsidRPr="00E91EEC">
        <w:rPr>
          <w:rFonts w:cstheme="minorHAnsi"/>
          <w:lang w:val="sr-Latn-CS"/>
        </w:rPr>
        <w:t xml:space="preserve"> </w:t>
      </w:r>
      <w:r w:rsidR="00FF18D5" w:rsidRPr="00E91EEC">
        <w:rPr>
          <w:rFonts w:cstheme="minorHAnsi"/>
          <w:lang w:val="sr-Latn-CS"/>
        </w:rPr>
        <w:t>je</w:t>
      </w:r>
      <w:r w:rsidRPr="00E91EEC">
        <w:rPr>
          <w:rFonts w:cstheme="minorHAnsi"/>
          <w:lang w:val="sr-Latn-CS"/>
        </w:rPr>
        <w:t xml:space="preserve"> </w:t>
      </w:r>
      <w:r w:rsidR="00BB3A79" w:rsidRPr="00E91EEC">
        <w:rPr>
          <w:rFonts w:cstheme="minorHAnsi"/>
          <w:lang w:val="sr-Latn-CS"/>
        </w:rPr>
        <w:t xml:space="preserve">da se </w:t>
      </w:r>
      <w:r w:rsidR="00EB0A44" w:rsidRPr="00E91EEC">
        <w:rPr>
          <w:rFonts w:cstheme="minorHAnsi"/>
          <w:lang w:val="sr-Latn-CS"/>
        </w:rPr>
        <w:t>preobrazi</w:t>
      </w:r>
      <w:r w:rsidRPr="00E91EEC">
        <w:rPr>
          <w:rFonts w:cstheme="minorHAnsi"/>
          <w:lang w:val="sr-Latn-CS"/>
        </w:rPr>
        <w:t xml:space="preserve"> za</w:t>
      </w:r>
      <w:r w:rsidR="00BB3A79" w:rsidRPr="00E91EEC">
        <w:rPr>
          <w:rFonts w:cstheme="minorHAnsi"/>
          <w:lang w:val="sr-Latn-CS"/>
        </w:rPr>
        <w:t>starel</w:t>
      </w:r>
      <w:r w:rsidR="00D423FD" w:rsidRPr="00E91EEC">
        <w:rPr>
          <w:rFonts w:cstheme="minorHAnsi"/>
          <w:lang w:val="sr-Latn-CS"/>
        </w:rPr>
        <w:t>i</w:t>
      </w:r>
      <w:r w:rsidRPr="00E91EEC">
        <w:rPr>
          <w:rFonts w:cstheme="minorHAnsi"/>
          <w:lang w:val="sr-Latn-CS"/>
        </w:rPr>
        <w:t xml:space="preserve"> ekonomsk</w:t>
      </w:r>
      <w:r w:rsidR="00D423FD" w:rsidRPr="00E91EEC">
        <w:rPr>
          <w:rFonts w:cstheme="minorHAnsi"/>
          <w:lang w:val="sr-Latn-CS"/>
        </w:rPr>
        <w:t>i</w:t>
      </w:r>
      <w:r w:rsidRPr="00E91EEC">
        <w:rPr>
          <w:rFonts w:cstheme="minorHAnsi"/>
          <w:lang w:val="sr-Latn-CS"/>
        </w:rPr>
        <w:t xml:space="preserve"> </w:t>
      </w:r>
      <w:r w:rsidR="00D423FD" w:rsidRPr="00E91EEC">
        <w:rPr>
          <w:rFonts w:cstheme="minorHAnsi"/>
          <w:lang w:val="sr-Latn-CS"/>
        </w:rPr>
        <w:t>sistem</w:t>
      </w:r>
      <w:r w:rsidRPr="00E91EEC">
        <w:rPr>
          <w:rFonts w:cstheme="minorHAnsi"/>
          <w:lang w:val="sr-Latn-CS"/>
        </w:rPr>
        <w:t>, k</w:t>
      </w:r>
      <w:r w:rsidR="00FF18D5" w:rsidRPr="00E91EEC">
        <w:rPr>
          <w:rFonts w:cstheme="minorHAnsi"/>
          <w:lang w:val="sr-Latn-CS"/>
        </w:rPr>
        <w:t xml:space="preserve">ao i </w:t>
      </w:r>
      <w:r w:rsidR="00D423FD" w:rsidRPr="00E91EEC">
        <w:rPr>
          <w:rFonts w:cstheme="minorHAnsi"/>
          <w:lang w:val="sr-Latn-CS"/>
        </w:rPr>
        <w:t xml:space="preserve">da </w:t>
      </w:r>
      <w:r w:rsidR="00EB0A44" w:rsidRPr="00E91EEC">
        <w:rPr>
          <w:rFonts w:cstheme="minorHAnsi"/>
          <w:lang w:val="sr-Latn-CS"/>
        </w:rPr>
        <w:t>zemlje priključe</w:t>
      </w:r>
      <w:r w:rsidR="00D423FD" w:rsidRPr="00E91EEC">
        <w:rPr>
          <w:rFonts w:cstheme="minorHAnsi"/>
          <w:lang w:val="sr-Latn-CS"/>
        </w:rPr>
        <w:t xml:space="preserve"> globalni</w:t>
      </w:r>
      <w:r w:rsidR="00EB0A44" w:rsidRPr="00E91EEC">
        <w:rPr>
          <w:rFonts w:cstheme="minorHAnsi"/>
          <w:lang w:val="sr-Latn-CS"/>
        </w:rPr>
        <w:t>n proizvodnim</w:t>
      </w:r>
      <w:r w:rsidR="00D423FD" w:rsidRPr="00E91EEC">
        <w:rPr>
          <w:rFonts w:cstheme="minorHAnsi"/>
          <w:lang w:val="sr-Latn-CS"/>
        </w:rPr>
        <w:t xml:space="preserve"> lanci</w:t>
      </w:r>
      <w:r w:rsidR="00EB0A44" w:rsidRPr="00E91EEC">
        <w:rPr>
          <w:rFonts w:cstheme="minorHAnsi"/>
          <w:lang w:val="sr-Latn-CS"/>
        </w:rPr>
        <w:t>ma</w:t>
      </w:r>
      <w:r w:rsidR="00D423FD" w:rsidRPr="00E91EEC">
        <w:rPr>
          <w:rFonts w:cstheme="minorHAnsi"/>
          <w:b/>
          <w:lang w:val="sr-Latn-CS"/>
        </w:rPr>
        <w:t>.</w:t>
      </w:r>
      <w:r w:rsidR="00D423FD" w:rsidRPr="00E91EEC">
        <w:rPr>
          <w:rFonts w:cstheme="minorHAnsi"/>
          <w:lang w:val="sr-Latn-CS"/>
        </w:rPr>
        <w:t xml:space="preserve"> </w:t>
      </w:r>
      <w:r w:rsidRPr="00E91EEC">
        <w:rPr>
          <w:rFonts w:cstheme="minorHAnsi"/>
          <w:lang w:val="sr-Latn-CS"/>
        </w:rPr>
        <w:t xml:space="preserve">Nove </w:t>
      </w:r>
      <w:r w:rsidR="00024D05" w:rsidRPr="00E91EEC">
        <w:rPr>
          <w:rFonts w:cstheme="minorHAnsi"/>
          <w:lang w:val="sr-Latn-CS"/>
        </w:rPr>
        <w:t>članice</w:t>
      </w:r>
      <w:r w:rsidRPr="00E91EEC">
        <w:rPr>
          <w:rFonts w:cstheme="minorHAnsi"/>
          <w:lang w:val="sr-Latn-CS"/>
        </w:rPr>
        <w:t xml:space="preserve"> EU su</w:t>
      </w:r>
      <w:r w:rsidR="00024D05" w:rsidRPr="00E91EEC">
        <w:rPr>
          <w:rFonts w:cstheme="minorHAnsi"/>
          <w:lang w:val="sr-Latn-CS"/>
        </w:rPr>
        <w:t>,</w:t>
      </w:r>
      <w:r w:rsidRPr="00E91EEC">
        <w:rPr>
          <w:rFonts w:cstheme="minorHAnsi"/>
          <w:lang w:val="sr-Latn-CS"/>
        </w:rPr>
        <w:t xml:space="preserve"> takođe</w:t>
      </w:r>
      <w:r w:rsidR="00024D05" w:rsidRPr="00E91EEC">
        <w:rPr>
          <w:rFonts w:cstheme="minorHAnsi"/>
          <w:lang w:val="sr-Latn-CS"/>
        </w:rPr>
        <w:t>,</w:t>
      </w:r>
      <w:r w:rsidRPr="00E91EEC">
        <w:rPr>
          <w:rFonts w:cstheme="minorHAnsi"/>
          <w:lang w:val="sr-Latn-CS"/>
        </w:rPr>
        <w:t xml:space="preserve"> bile izvor </w:t>
      </w:r>
      <w:r w:rsidR="00FF18D5" w:rsidRPr="00E91EEC">
        <w:rPr>
          <w:rFonts w:cstheme="minorHAnsi"/>
          <w:lang w:val="sr-Latn-CS"/>
        </w:rPr>
        <w:t>SDI</w:t>
      </w:r>
      <w:r w:rsidRPr="00E91EEC">
        <w:rPr>
          <w:rFonts w:cstheme="minorHAnsi"/>
          <w:lang w:val="sr-Latn-CS"/>
        </w:rPr>
        <w:t xml:space="preserve">, iako </w:t>
      </w:r>
      <w:r w:rsidR="00024D05" w:rsidRPr="00E91EEC">
        <w:rPr>
          <w:rFonts w:cstheme="minorHAnsi"/>
          <w:lang w:val="sr-Latn-CS"/>
        </w:rPr>
        <w:t>u</w:t>
      </w:r>
      <w:r w:rsidRPr="00E91EEC">
        <w:rPr>
          <w:rFonts w:cstheme="minorHAnsi"/>
          <w:lang w:val="sr-Latn-CS"/>
        </w:rPr>
        <w:t xml:space="preserve"> </w:t>
      </w:r>
      <w:r w:rsidR="00024D05" w:rsidRPr="00E91EEC">
        <w:rPr>
          <w:rFonts w:cstheme="minorHAnsi"/>
          <w:lang w:val="sr-Latn-CS"/>
        </w:rPr>
        <w:t>znatno manjem obimu</w:t>
      </w:r>
      <w:r w:rsidR="00FF18D5" w:rsidRPr="00E91EEC">
        <w:rPr>
          <w:rFonts w:cstheme="minorHAnsi"/>
          <w:lang w:val="sr-Latn-CS"/>
        </w:rPr>
        <w:t xml:space="preserve"> </w:t>
      </w:r>
      <w:r w:rsidRPr="00E91EEC">
        <w:rPr>
          <w:rFonts w:cstheme="minorHAnsi"/>
          <w:lang w:val="sr-Latn-CS"/>
        </w:rPr>
        <w:t xml:space="preserve">(Tabela 6). Ovo pokazuje interesovanje, </w:t>
      </w:r>
      <w:r w:rsidR="00FF18D5" w:rsidRPr="00E91EEC">
        <w:rPr>
          <w:rFonts w:cstheme="minorHAnsi"/>
          <w:lang w:val="sr-Latn-CS"/>
        </w:rPr>
        <w:t>mogućnosti</w:t>
      </w:r>
      <w:r w:rsidRPr="00E91EEC">
        <w:rPr>
          <w:rFonts w:cstheme="minorHAnsi"/>
          <w:lang w:val="sr-Latn-CS"/>
        </w:rPr>
        <w:t xml:space="preserve"> i </w:t>
      </w:r>
      <w:r w:rsidR="00FF18D5" w:rsidRPr="00E91EEC">
        <w:rPr>
          <w:rFonts w:cstheme="minorHAnsi"/>
          <w:lang w:val="sr-Latn-CS"/>
        </w:rPr>
        <w:t>sposobnosti</w:t>
      </w:r>
      <w:r w:rsidRPr="00E91EEC">
        <w:rPr>
          <w:rFonts w:cstheme="minorHAnsi"/>
          <w:lang w:val="sr-Latn-CS"/>
        </w:rPr>
        <w:t xml:space="preserve"> lokalnih</w:t>
      </w:r>
      <w:r w:rsidR="00024D05" w:rsidRPr="00E91EEC">
        <w:rPr>
          <w:rFonts w:cstheme="minorHAnsi"/>
          <w:lang w:val="sr-Latn-CS"/>
        </w:rPr>
        <w:t xml:space="preserve"> preduzeća</w:t>
      </w:r>
      <w:r w:rsidRPr="00E91EEC">
        <w:rPr>
          <w:rFonts w:cstheme="minorHAnsi"/>
          <w:lang w:val="sr-Latn-CS"/>
        </w:rPr>
        <w:t xml:space="preserve"> da </w:t>
      </w:r>
      <w:r w:rsidR="00FF18D5" w:rsidRPr="00E91EEC">
        <w:rPr>
          <w:rFonts w:cstheme="minorHAnsi"/>
          <w:lang w:val="sr-Latn-CS"/>
        </w:rPr>
        <w:t>izađu na međunarodnu scenu</w:t>
      </w:r>
      <w:r w:rsidRPr="00E91EEC">
        <w:rPr>
          <w:rFonts w:cstheme="minorHAnsi"/>
          <w:lang w:val="sr-Latn-CS"/>
        </w:rPr>
        <w:t>. Međutim, očigledna su i određena strana dezinvestiranja.</w:t>
      </w:r>
      <w:r w:rsidR="00FF18D5" w:rsidRPr="00E91EEC">
        <w:rPr>
          <w:rFonts w:cstheme="minorHAnsi"/>
          <w:lang w:val="sr-Latn-CS"/>
        </w:rPr>
        <w:t xml:space="preserve"> </w:t>
      </w:r>
      <w:r w:rsidR="00024D05" w:rsidRPr="00E91EEC">
        <w:rPr>
          <w:rFonts w:cstheme="minorHAnsi"/>
          <w:lang w:val="sr-Latn-CS"/>
        </w:rPr>
        <w:t>Strani investitori koji su prethodno investirali u nove članice EU, napustili su ih</w:t>
      </w:r>
      <w:r w:rsidRPr="00E91EEC">
        <w:rPr>
          <w:rFonts w:cstheme="minorHAnsi"/>
          <w:lang w:val="sr-Latn-CS"/>
        </w:rPr>
        <w:t xml:space="preserve"> i otišli ​​u Kinu ili </w:t>
      </w:r>
      <w:r w:rsidR="00FF18D5" w:rsidRPr="00E91EEC">
        <w:rPr>
          <w:rFonts w:cstheme="minorHAnsi"/>
          <w:lang w:val="sr-Latn-CS"/>
        </w:rPr>
        <w:t xml:space="preserve">negde </w:t>
      </w:r>
      <w:r w:rsidRPr="00E91EEC">
        <w:rPr>
          <w:rFonts w:cstheme="minorHAnsi"/>
          <w:lang w:val="sr-Latn-CS"/>
        </w:rPr>
        <w:t>drugde</w:t>
      </w:r>
      <w:r w:rsidR="00217CE7" w:rsidRPr="00E91EEC">
        <w:rPr>
          <w:rFonts w:cstheme="minorHAnsi"/>
          <w:lang w:val="sr-Latn-CS"/>
        </w:rPr>
        <w:t xml:space="preserve"> u jugoistočnoj Aziji</w:t>
      </w:r>
      <w:r w:rsidRPr="00E91EEC">
        <w:rPr>
          <w:rFonts w:cstheme="minorHAnsi"/>
          <w:lang w:val="sr-Latn-CS"/>
        </w:rPr>
        <w:t>.</w:t>
      </w:r>
    </w:p>
    <w:p w:rsidR="005967AB" w:rsidRPr="00E91EEC" w:rsidRDefault="00024D05" w:rsidP="00C03664">
      <w:pPr>
        <w:jc w:val="both"/>
        <w:rPr>
          <w:lang w:val="sr-Latn-CS"/>
        </w:rPr>
      </w:pPr>
      <w:r w:rsidRPr="00E91EEC">
        <w:rPr>
          <w:lang w:val="sr-Latn-CS"/>
        </w:rPr>
        <w:t>Iz prethodnih razmatranja zapaža se</w:t>
      </w:r>
      <w:r w:rsidR="005967AB" w:rsidRPr="00E91EEC">
        <w:rPr>
          <w:lang w:val="sr-Latn-CS"/>
        </w:rPr>
        <w:t xml:space="preserve"> nekoliko </w:t>
      </w:r>
      <w:r w:rsidRPr="00E91EEC">
        <w:rPr>
          <w:lang w:val="sr-Latn-CS"/>
        </w:rPr>
        <w:t>značajnih</w:t>
      </w:r>
      <w:r w:rsidR="005967AB" w:rsidRPr="00E91EEC">
        <w:rPr>
          <w:lang w:val="sr-Latn-CS"/>
        </w:rPr>
        <w:t xml:space="preserve"> i pozitivnih ekonomskih </w:t>
      </w:r>
      <w:r w:rsidRPr="00E91EEC">
        <w:rPr>
          <w:lang w:val="sr-Latn-CS"/>
        </w:rPr>
        <w:t>posledica</w:t>
      </w:r>
      <w:r w:rsidR="005967AB" w:rsidRPr="00E91EEC">
        <w:rPr>
          <w:lang w:val="sr-Latn-CS"/>
        </w:rPr>
        <w:t xml:space="preserve"> u novim </w:t>
      </w:r>
      <w:r w:rsidRPr="00E91EEC">
        <w:rPr>
          <w:lang w:val="sr-Latn-CS"/>
        </w:rPr>
        <w:t xml:space="preserve">članicama </w:t>
      </w:r>
      <w:r w:rsidR="005967AB" w:rsidRPr="00E91EEC">
        <w:rPr>
          <w:lang w:val="sr-Latn-CS"/>
        </w:rPr>
        <w:t xml:space="preserve">EU. </w:t>
      </w:r>
      <w:r w:rsidR="00C14388" w:rsidRPr="00E91EEC">
        <w:rPr>
          <w:lang w:val="sr-Latn-CS"/>
        </w:rPr>
        <w:t xml:space="preserve">Međutim, treba razmotriti i pojasniti finansijske troškove tih posledica. </w:t>
      </w:r>
      <w:r w:rsidR="00FF18D5" w:rsidRPr="00E91EEC">
        <w:rPr>
          <w:lang w:val="sr-Latn-CS"/>
        </w:rPr>
        <w:t>Rast s</w:t>
      </w:r>
      <w:r w:rsidR="005967AB" w:rsidRPr="00E91EEC">
        <w:rPr>
          <w:lang w:val="sr-Latn-CS"/>
        </w:rPr>
        <w:t>poljn</w:t>
      </w:r>
      <w:r w:rsidR="00FF18D5" w:rsidRPr="00E91EEC">
        <w:rPr>
          <w:lang w:val="sr-Latn-CS"/>
        </w:rPr>
        <w:t>og</w:t>
      </w:r>
      <w:r w:rsidR="005967AB" w:rsidRPr="00E91EEC">
        <w:rPr>
          <w:lang w:val="sr-Latn-CS"/>
        </w:rPr>
        <w:t xml:space="preserve"> dug</w:t>
      </w:r>
      <w:r w:rsidR="00FF18D5" w:rsidRPr="00E91EEC">
        <w:rPr>
          <w:lang w:val="sr-Latn-CS"/>
        </w:rPr>
        <w:t>a</w:t>
      </w:r>
      <w:r w:rsidR="005967AB" w:rsidRPr="00E91EEC">
        <w:rPr>
          <w:lang w:val="sr-Latn-CS"/>
        </w:rPr>
        <w:t xml:space="preserve"> u apsolutnom </w:t>
      </w:r>
      <w:r w:rsidR="00FF18D5" w:rsidRPr="00E91EEC">
        <w:rPr>
          <w:lang w:val="sr-Latn-CS"/>
        </w:rPr>
        <w:t xml:space="preserve">iznosu </w:t>
      </w:r>
      <w:r w:rsidR="005967AB" w:rsidRPr="00E91EEC">
        <w:rPr>
          <w:lang w:val="sr-Latn-CS"/>
        </w:rPr>
        <w:t xml:space="preserve">(Tabela 7) </w:t>
      </w:r>
      <w:r w:rsidR="00C14388" w:rsidRPr="00E91EEC">
        <w:rPr>
          <w:lang w:val="sr-Latn-CS"/>
        </w:rPr>
        <w:t xml:space="preserve">deluje veoma zabrinjavajuće, a premašuje privredni rast u </w:t>
      </w:r>
      <w:r w:rsidR="00C14388" w:rsidRPr="00E91EEC">
        <w:rPr>
          <w:lang w:val="sr-Latn-CS"/>
        </w:rPr>
        <w:lastRenderedPageBreak/>
        <w:t xml:space="preserve">posmatranim državama. </w:t>
      </w:r>
      <w:r w:rsidR="005967AB" w:rsidRPr="00E91EEC">
        <w:rPr>
          <w:lang w:val="sr-Latn-CS"/>
        </w:rPr>
        <w:t xml:space="preserve">U Poljskoj je, na primer, </w:t>
      </w:r>
      <w:r w:rsidR="00FF18D5" w:rsidRPr="00E91EEC">
        <w:rPr>
          <w:lang w:val="sr-Latn-CS"/>
        </w:rPr>
        <w:t>spoljni dug povećan</w:t>
      </w:r>
      <w:r w:rsidR="005967AB" w:rsidRPr="00E91EEC">
        <w:rPr>
          <w:lang w:val="sr-Latn-CS"/>
        </w:rPr>
        <w:t xml:space="preserve"> sa 95 milijardi evra u 2004. na 319 milijardi evra u 2016. godini.</w:t>
      </w:r>
      <w:r w:rsidR="00C14388" w:rsidRPr="00E91EEC">
        <w:rPr>
          <w:rStyle w:val="FootnoteReference"/>
          <w:rFonts w:ascii="Times New Roman" w:hAnsi="Times New Roman"/>
          <w:sz w:val="24"/>
          <w:szCs w:val="24"/>
          <w:lang w:val="sr-Latn-CS"/>
        </w:rPr>
        <w:footnoteReference w:id="5"/>
      </w:r>
    </w:p>
    <w:p w:rsidR="00C214B7" w:rsidRPr="00E91EEC" w:rsidRDefault="009C6E94" w:rsidP="00EF6EA6">
      <w:pPr>
        <w:jc w:val="both"/>
        <w:rPr>
          <w:lang w:val="sr-Latn-CS"/>
        </w:rPr>
      </w:pPr>
      <w:r w:rsidRPr="00E91EEC">
        <w:rPr>
          <w:lang w:val="sr-Latn-CS"/>
        </w:rPr>
        <w:t>U poslednjoj tabeli</w:t>
      </w:r>
      <w:r w:rsidR="005967AB" w:rsidRPr="00E91EEC">
        <w:rPr>
          <w:lang w:val="sr-Latn-CS"/>
        </w:rPr>
        <w:t xml:space="preserve"> </w:t>
      </w:r>
      <w:r w:rsidR="00C14388" w:rsidRPr="00E91EEC">
        <w:rPr>
          <w:lang w:val="sr-Latn-CS"/>
        </w:rPr>
        <w:t xml:space="preserve">(tabela </w:t>
      </w:r>
      <w:r w:rsidR="005967AB" w:rsidRPr="00E91EEC">
        <w:rPr>
          <w:lang w:val="sr-Latn-CS"/>
        </w:rPr>
        <w:t>8</w:t>
      </w:r>
      <w:r w:rsidR="00C14388" w:rsidRPr="00E91EEC">
        <w:rPr>
          <w:lang w:val="sr-Latn-CS"/>
        </w:rPr>
        <w:t>)</w:t>
      </w:r>
      <w:r w:rsidR="005967AB" w:rsidRPr="00E91EEC">
        <w:rPr>
          <w:lang w:val="sr-Latn-CS"/>
        </w:rPr>
        <w:t xml:space="preserve"> </w:t>
      </w:r>
      <w:r w:rsidR="00FB207F" w:rsidRPr="00E91EEC">
        <w:rPr>
          <w:lang w:val="sr-Latn-CS"/>
        </w:rPr>
        <w:t xml:space="preserve">prikazane </w:t>
      </w:r>
      <w:r w:rsidR="00C14388" w:rsidRPr="00E91EEC">
        <w:rPr>
          <w:lang w:val="sr-Latn-CS"/>
        </w:rPr>
        <w:t xml:space="preserve">su </w:t>
      </w:r>
      <w:r w:rsidR="005967AB" w:rsidRPr="00E91EEC">
        <w:rPr>
          <w:lang w:val="sr-Latn-CS"/>
        </w:rPr>
        <w:t xml:space="preserve">godišnje stope rasta spoljnog duga </w:t>
      </w:r>
      <w:r w:rsidR="00C14388" w:rsidRPr="00E91EEC">
        <w:rPr>
          <w:lang w:val="sr-Latn-CS"/>
        </w:rPr>
        <w:t>i godišnje stope</w:t>
      </w:r>
      <w:r w:rsidR="005967AB" w:rsidRPr="00E91EEC">
        <w:rPr>
          <w:lang w:val="sr-Latn-CS"/>
        </w:rPr>
        <w:t xml:space="preserve"> rasta </w:t>
      </w:r>
      <w:r w:rsidR="00FB207F" w:rsidRPr="00E91EEC">
        <w:rPr>
          <w:lang w:val="sr-Latn-CS"/>
        </w:rPr>
        <w:t>BDP</w:t>
      </w:r>
      <w:r w:rsidR="005967AB" w:rsidRPr="00E91EEC">
        <w:rPr>
          <w:lang w:val="sr-Latn-CS"/>
        </w:rPr>
        <w:t xml:space="preserve">-a. </w:t>
      </w:r>
      <w:r w:rsidR="00FB207F" w:rsidRPr="00E91EEC">
        <w:rPr>
          <w:lang w:val="sr-Latn-CS"/>
        </w:rPr>
        <w:t xml:space="preserve">Slike koje slede daju grafički prikaz podataka datih u tabeli. U normalnim uslovima, zemlja se zadužuje </w:t>
      </w:r>
      <w:r w:rsidR="00EF6EA6" w:rsidRPr="00E91EEC">
        <w:rPr>
          <w:lang w:val="sr-Latn-CS"/>
        </w:rPr>
        <w:t xml:space="preserve">ukoliko želi da investira i time ostvari profit. Zarada od investicija treba da omogući državi da otplati dug i pripadajuću kamatu, a ono što ostane nakon vraćanja duga i kamate namenjeno je podsticanju ekonomskog rasta. U slučaju posmatranih država, porast stope duga je, generalno, bio viši od porasta stope rasta BDP-a,  </w:t>
      </w:r>
      <w:r w:rsidR="00C41EA6" w:rsidRPr="00E91EEC">
        <w:rPr>
          <w:lang w:val="sr-Latn-CS"/>
        </w:rPr>
        <w:t>što znači da zemlje istočne i centralne Evrope žive na račun inter-generacijske „kreditne kartice“. Dugovi koji se sada stvaraju moraće da plate bud</w:t>
      </w:r>
      <w:r w:rsidR="00C14388" w:rsidRPr="00E91EEC">
        <w:rPr>
          <w:lang w:val="sr-Latn-CS"/>
        </w:rPr>
        <w:t xml:space="preserve">uće generacije, koje </w:t>
      </w:r>
      <w:r w:rsidR="00985FDD" w:rsidRPr="00E91EEC">
        <w:rPr>
          <w:lang w:val="sr-Latn-CS"/>
        </w:rPr>
        <w:t>sadašnje vlasti nisu pitale</w:t>
      </w:r>
      <w:r w:rsidR="00C14388" w:rsidRPr="00E91EEC">
        <w:rPr>
          <w:lang w:val="sr-Latn-CS"/>
        </w:rPr>
        <w:t xml:space="preserve"> da li žele da se zaduže</w:t>
      </w:r>
      <w:r w:rsidR="00C41EA6" w:rsidRPr="00E91EEC">
        <w:rPr>
          <w:lang w:val="sr-Latn-CS"/>
        </w:rPr>
        <w:t xml:space="preserve">. Ovo predstavlja problem iz dva </w:t>
      </w:r>
      <w:r w:rsidR="00C14388" w:rsidRPr="00E91EEC">
        <w:rPr>
          <w:lang w:val="sr-Latn-CS"/>
        </w:rPr>
        <w:t>razloga</w:t>
      </w:r>
      <w:r w:rsidR="00C41EA6" w:rsidRPr="00E91EEC">
        <w:rPr>
          <w:lang w:val="sr-Latn-CS"/>
        </w:rPr>
        <w:t xml:space="preserve">. Prvo, kamatne stope neće zauvek ostati na </w:t>
      </w:r>
      <w:r w:rsidR="00EF6EA6" w:rsidRPr="00E91EEC">
        <w:rPr>
          <w:lang w:val="sr-Latn-CS"/>
        </w:rPr>
        <w:t>izuzetno</w:t>
      </w:r>
      <w:r w:rsidR="007B0703" w:rsidRPr="00E91EEC">
        <w:rPr>
          <w:lang w:val="sr-Latn-CS"/>
        </w:rPr>
        <w:t xml:space="preserve"> niskom nivou</w:t>
      </w:r>
      <w:r w:rsidR="00C41EA6" w:rsidRPr="00E91EEC">
        <w:rPr>
          <w:lang w:val="sr-Latn-CS"/>
        </w:rPr>
        <w:t xml:space="preserve"> kao što je </w:t>
      </w:r>
      <w:r w:rsidR="00C14388" w:rsidRPr="00E91EEC">
        <w:rPr>
          <w:lang w:val="sr-Latn-CS"/>
        </w:rPr>
        <w:t xml:space="preserve">to </w:t>
      </w:r>
      <w:r w:rsidR="00C41EA6" w:rsidRPr="00E91EEC">
        <w:rPr>
          <w:lang w:val="sr-Latn-CS"/>
        </w:rPr>
        <w:t>sada slučaj. Kada kamatne stope poras</w:t>
      </w:r>
      <w:r w:rsidR="00C14388" w:rsidRPr="00E91EEC">
        <w:rPr>
          <w:lang w:val="sr-Latn-CS"/>
        </w:rPr>
        <w:t>tu</w:t>
      </w:r>
      <w:r w:rsidR="00C41EA6" w:rsidRPr="00E91EEC">
        <w:rPr>
          <w:lang w:val="sr-Latn-CS"/>
        </w:rPr>
        <w:t xml:space="preserve">, teret otplate duga će postati daleko teži, dok će </w:t>
      </w:r>
      <w:r w:rsidR="00C14388" w:rsidRPr="00E91EEC">
        <w:rPr>
          <w:lang w:val="sr-Latn-CS"/>
        </w:rPr>
        <w:t xml:space="preserve">investicije </w:t>
      </w:r>
      <w:r w:rsidR="00C41EA6" w:rsidRPr="00E91EEC">
        <w:rPr>
          <w:lang w:val="sr-Latn-CS"/>
        </w:rPr>
        <w:t>stradati</w:t>
      </w:r>
      <w:r w:rsidR="00C14388" w:rsidRPr="00E91EEC">
        <w:rPr>
          <w:lang w:val="sr-Latn-CS"/>
        </w:rPr>
        <w:t xml:space="preserve">. </w:t>
      </w:r>
      <w:r w:rsidR="00C41EA6" w:rsidRPr="00E91EEC">
        <w:rPr>
          <w:lang w:val="sr-Latn-CS"/>
        </w:rPr>
        <w:t xml:space="preserve">Drugo, sve nove članice EU imaju demografski problem (niske stope nataliteta predstavljaju dugoročni pan-evropski problem). Određeni broj novorođenih, kada odrastu, mogu zaključiti da je situacija u regionu neprivlačna, i napustiti EU. Takođe, nove zemlje EU se snažno protive </w:t>
      </w:r>
      <w:r w:rsidR="007B0703" w:rsidRPr="00E91EEC">
        <w:rPr>
          <w:lang w:val="sr-Latn-CS"/>
        </w:rPr>
        <w:t>i</w:t>
      </w:r>
      <w:r w:rsidR="00C41EA6" w:rsidRPr="00E91EEC">
        <w:rPr>
          <w:lang w:val="sr-Latn-CS"/>
        </w:rPr>
        <w:t>migraciji iz neevropskih zemalja. Ko će otplatiti sadašnje i buduće dugove?</w:t>
      </w:r>
      <w:r w:rsidR="00C14388" w:rsidRPr="00E91EEC">
        <w:rPr>
          <w:lang w:val="sr-Latn-CS"/>
        </w:rPr>
        <w:t xml:space="preserve"> </w:t>
      </w:r>
      <w:r w:rsidR="00303B6F" w:rsidRPr="00E91EEC">
        <w:rPr>
          <w:lang w:val="sr-Latn-CS"/>
        </w:rPr>
        <w:t xml:space="preserve"> </w:t>
      </w:r>
    </w:p>
    <w:p w:rsidR="003B7481" w:rsidRPr="00E91EEC" w:rsidRDefault="003B7481">
      <w:pPr>
        <w:rPr>
          <w:lang w:val="sr-Latn-CS"/>
        </w:rPr>
      </w:pPr>
      <w:r w:rsidRPr="00E91EEC">
        <w:rPr>
          <w:lang w:val="sr-Latn-CS"/>
        </w:rPr>
        <w:br w:type="page"/>
      </w:r>
    </w:p>
    <w:p w:rsidR="00C41EA6" w:rsidRPr="00E91EEC" w:rsidRDefault="003B7481" w:rsidP="00C41EA6">
      <w:pPr>
        <w:rPr>
          <w:b/>
          <w:lang w:val="sr-Latn-CS"/>
        </w:rPr>
      </w:pPr>
      <w:r w:rsidRPr="00E91EEC">
        <w:rPr>
          <w:b/>
          <w:lang w:val="sr-Latn-CS"/>
        </w:rPr>
        <w:lastRenderedPageBreak/>
        <w:t xml:space="preserve">3. </w:t>
      </w:r>
      <w:r w:rsidR="004A6EA8" w:rsidRPr="00E91EEC">
        <w:rPr>
          <w:b/>
          <w:lang w:val="sr-Latn-CS"/>
        </w:rPr>
        <w:t>Ekonomska k</w:t>
      </w:r>
      <w:r w:rsidRPr="00E91EEC">
        <w:rPr>
          <w:b/>
          <w:lang w:val="sr-Latn-CS"/>
        </w:rPr>
        <w:t>rofna ili rupa</w:t>
      </w:r>
      <w:r w:rsidR="007B0703" w:rsidRPr="00E91EEC">
        <w:rPr>
          <w:b/>
          <w:lang w:val="sr-Latn-CS"/>
        </w:rPr>
        <w:t xml:space="preserve"> u krofni?</w:t>
      </w:r>
    </w:p>
    <w:p w:rsidR="003B7481" w:rsidRPr="00E91EEC" w:rsidRDefault="00EF6EA6" w:rsidP="007C27A9">
      <w:pPr>
        <w:jc w:val="both"/>
        <w:rPr>
          <w:rFonts w:cstheme="minorHAnsi"/>
          <w:lang w:val="sr-Latn-CS"/>
        </w:rPr>
      </w:pPr>
      <w:r w:rsidRPr="00E91EEC">
        <w:rPr>
          <w:rFonts w:cstheme="minorHAnsi"/>
          <w:lang w:val="sr-Latn-CS"/>
        </w:rPr>
        <w:t>Centralna i i</w:t>
      </w:r>
      <w:r w:rsidR="003B7481" w:rsidRPr="00E91EEC">
        <w:rPr>
          <w:rFonts w:cstheme="minorHAnsi"/>
          <w:lang w:val="sr-Latn-CS"/>
        </w:rPr>
        <w:t xml:space="preserve">stočna Evropa su (ili su </w:t>
      </w:r>
      <w:r w:rsidR="00291D8F" w:rsidRPr="00E91EEC">
        <w:rPr>
          <w:rFonts w:cstheme="minorHAnsi"/>
          <w:lang w:val="sr-Latn-CS"/>
        </w:rPr>
        <w:t xml:space="preserve">bar </w:t>
      </w:r>
      <w:r w:rsidR="003B7481" w:rsidRPr="00E91EEC">
        <w:rPr>
          <w:rFonts w:cstheme="minorHAnsi"/>
          <w:lang w:val="sr-Latn-CS"/>
        </w:rPr>
        <w:t xml:space="preserve">bile) </w:t>
      </w:r>
      <w:r w:rsidR="00291D8F" w:rsidRPr="00E91EEC">
        <w:rPr>
          <w:rFonts w:cstheme="minorHAnsi"/>
          <w:lang w:val="sr-Latn-CS"/>
        </w:rPr>
        <w:t>države sa najdinamičnijim ekonomskim rastom u EU.</w:t>
      </w:r>
      <w:r w:rsidR="003B7481" w:rsidRPr="00E91EEC">
        <w:rPr>
          <w:rFonts w:cstheme="minorHAnsi"/>
          <w:lang w:val="sr-Latn-CS"/>
        </w:rPr>
        <w:t xml:space="preserve"> </w:t>
      </w:r>
      <w:r w:rsidR="00291D8F" w:rsidRPr="00E91EEC">
        <w:rPr>
          <w:rFonts w:cstheme="minorHAnsi"/>
          <w:lang w:val="sr-Latn-CS"/>
        </w:rPr>
        <w:t>Međutim, i</w:t>
      </w:r>
      <w:r w:rsidR="003B7481" w:rsidRPr="00E91EEC">
        <w:rPr>
          <w:rFonts w:cstheme="minorHAnsi"/>
          <w:lang w:val="sr-Latn-CS"/>
        </w:rPr>
        <w:t xml:space="preserve">ako </w:t>
      </w:r>
      <w:r w:rsidR="00303B6F" w:rsidRPr="00E91EEC">
        <w:rPr>
          <w:rFonts w:cstheme="minorHAnsi"/>
          <w:lang w:val="sr-Latn-CS"/>
        </w:rPr>
        <w:t>pomenute</w:t>
      </w:r>
      <w:r w:rsidR="003B7481" w:rsidRPr="00E91EEC">
        <w:rPr>
          <w:rFonts w:cstheme="minorHAnsi"/>
          <w:lang w:val="sr-Latn-CS"/>
        </w:rPr>
        <w:t xml:space="preserve"> države obuhvataju petinu stanovništva EU</w:t>
      </w:r>
      <w:r w:rsidR="000A6E99" w:rsidRPr="00E91EEC">
        <w:rPr>
          <w:rFonts w:cstheme="minorHAnsi"/>
          <w:lang w:val="sr-Latn-CS"/>
        </w:rPr>
        <w:t>, njihov udeo u BDP-u EU</w:t>
      </w:r>
      <w:r w:rsidR="00BF104E" w:rsidRPr="00E91EEC">
        <w:rPr>
          <w:rFonts w:cstheme="minorHAnsi"/>
          <w:lang w:val="sr-Latn-CS"/>
        </w:rPr>
        <w:t xml:space="preserve"> </w:t>
      </w:r>
      <w:r w:rsidR="000A6E99" w:rsidRPr="00E91EEC">
        <w:rPr>
          <w:rFonts w:cstheme="minorHAnsi"/>
          <w:lang w:val="sr-Latn-CS"/>
        </w:rPr>
        <w:t xml:space="preserve">je samo </w:t>
      </w:r>
      <w:r w:rsidR="00303B6F" w:rsidRPr="00E91EEC">
        <w:rPr>
          <w:rFonts w:cstheme="minorHAnsi"/>
          <w:lang w:val="sr-Latn-CS"/>
        </w:rPr>
        <w:t xml:space="preserve">oko </w:t>
      </w:r>
      <w:r w:rsidR="000A6E99" w:rsidRPr="00E91EEC">
        <w:rPr>
          <w:rFonts w:cstheme="minorHAnsi"/>
          <w:lang w:val="sr-Latn-CS"/>
        </w:rPr>
        <w:t>8 procenata. Promen</w:t>
      </w:r>
      <w:r w:rsidR="006C38C2" w:rsidRPr="00E91EEC">
        <w:rPr>
          <w:rFonts w:cstheme="minorHAnsi"/>
          <w:lang w:val="sr-Latn-CS"/>
        </w:rPr>
        <w:t>e</w:t>
      </w:r>
      <w:r w:rsidR="000A6E99" w:rsidRPr="00E91EEC">
        <w:rPr>
          <w:rFonts w:cstheme="minorHAnsi"/>
          <w:lang w:val="sr-Latn-CS"/>
        </w:rPr>
        <w:t xml:space="preserve"> u novim članicama EU </w:t>
      </w:r>
      <w:r w:rsidR="006C38C2" w:rsidRPr="00E91EEC">
        <w:rPr>
          <w:rFonts w:cstheme="minorHAnsi"/>
          <w:lang w:val="sr-Latn-CS"/>
        </w:rPr>
        <w:t xml:space="preserve">su </w:t>
      </w:r>
      <w:r w:rsidR="000A6E99" w:rsidRPr="00E91EEC">
        <w:rPr>
          <w:rFonts w:cstheme="minorHAnsi"/>
          <w:lang w:val="sr-Latn-CS"/>
        </w:rPr>
        <w:t>očigledn</w:t>
      </w:r>
      <w:r w:rsidR="006C38C2" w:rsidRPr="00E91EEC">
        <w:rPr>
          <w:rFonts w:cstheme="minorHAnsi"/>
          <w:lang w:val="sr-Latn-CS"/>
        </w:rPr>
        <w:t>e</w:t>
      </w:r>
      <w:r w:rsidR="000A6E99" w:rsidRPr="00E91EEC">
        <w:rPr>
          <w:rFonts w:cstheme="minorHAnsi"/>
          <w:lang w:val="sr-Latn-CS"/>
        </w:rPr>
        <w:t>, ali te države i dalje imaju mali ili ograničeni potencijal da poguraju privredu EU napred</w:t>
      </w:r>
      <w:r w:rsidR="00BF104E" w:rsidRPr="00E91EEC">
        <w:rPr>
          <w:rFonts w:cstheme="minorHAnsi"/>
          <w:lang w:val="sr-Latn-CS"/>
        </w:rPr>
        <w:t xml:space="preserve">. </w:t>
      </w:r>
      <w:r w:rsidR="00291D8F" w:rsidRPr="00E91EEC">
        <w:rPr>
          <w:rFonts w:cstheme="minorHAnsi"/>
          <w:lang w:val="sr-Latn-CS"/>
        </w:rPr>
        <w:t xml:space="preserve">Nakon nastupanja globalne finansijske krize (2008), čak i nekoliko godina pre toga, nije se predviđalo da će se u </w:t>
      </w:r>
      <w:r w:rsidR="00B247B9" w:rsidRPr="00E91EEC">
        <w:rPr>
          <w:rFonts w:cstheme="minorHAnsi"/>
          <w:lang w:val="sr-Latn-CS"/>
        </w:rPr>
        <w:t>jezgru EU dogoditi osetan ekonomski rast.</w:t>
      </w:r>
      <w:r w:rsidR="002E42BF" w:rsidRPr="00E91EEC">
        <w:rPr>
          <w:rFonts w:cstheme="minorHAnsi"/>
          <w:lang w:val="sr-Latn-CS"/>
        </w:rPr>
        <w:t xml:space="preserve"> </w:t>
      </w:r>
      <w:r w:rsidR="00C04459" w:rsidRPr="00E91EEC">
        <w:rPr>
          <w:rFonts w:cstheme="minorHAnsi"/>
          <w:lang w:val="sr-Latn-CS"/>
        </w:rPr>
        <w:t>Kako EU nije mogla da poveća realan rast, p</w:t>
      </w:r>
      <w:r w:rsidR="00BF104E" w:rsidRPr="00E91EEC">
        <w:rPr>
          <w:rFonts w:cstheme="minorHAnsi"/>
          <w:lang w:val="sr-Latn-CS"/>
        </w:rPr>
        <w:t>romenila je metodologiju</w:t>
      </w:r>
      <w:r w:rsidR="00C04459" w:rsidRPr="00E91EEC">
        <w:rPr>
          <w:rFonts w:cstheme="minorHAnsi"/>
          <w:lang w:val="sr-Latn-CS"/>
        </w:rPr>
        <w:t xml:space="preserve"> za izračunavanje BDP-a u 2014. godini. Nova metodologija uključ</w:t>
      </w:r>
      <w:r w:rsidR="005F68CE" w:rsidRPr="00E91EEC">
        <w:rPr>
          <w:rFonts w:cstheme="minorHAnsi"/>
          <w:lang w:val="sr-Latn-CS"/>
        </w:rPr>
        <w:t>ila je</w:t>
      </w:r>
      <w:r w:rsidR="00C04459" w:rsidRPr="00E91EEC">
        <w:rPr>
          <w:rFonts w:cstheme="minorHAnsi"/>
          <w:lang w:val="sr-Latn-CS"/>
        </w:rPr>
        <w:t xml:space="preserve"> deo nelegalnih ekonomskih aktivnosti kao što su krijumčarenje, prodaja droge i prostitucija.</w:t>
      </w:r>
      <w:r w:rsidR="00C04459" w:rsidRPr="00E91EEC">
        <w:rPr>
          <w:rStyle w:val="FootnoteReference"/>
          <w:rFonts w:cstheme="minorHAnsi"/>
          <w:sz w:val="24"/>
          <w:szCs w:val="24"/>
          <w:lang w:val="sr-Latn-CS"/>
        </w:rPr>
        <w:footnoteReference w:id="6"/>
      </w:r>
      <w:r w:rsidR="00C04459" w:rsidRPr="00E91EEC">
        <w:rPr>
          <w:rFonts w:cstheme="minorHAnsi"/>
          <w:lang w:val="sr-Latn-CS"/>
        </w:rPr>
        <w:t xml:space="preserve"> Takva metodologija u određenoj (maloj) meri povećava BDP, političari mogu da se diče svoji</w:t>
      </w:r>
      <w:r w:rsidR="005F68CE" w:rsidRPr="00E91EEC">
        <w:rPr>
          <w:rFonts w:cstheme="minorHAnsi"/>
          <w:lang w:val="sr-Latn-CS"/>
        </w:rPr>
        <w:t>m uspehom, ali obični ljudi</w:t>
      </w:r>
      <w:r w:rsidR="00C04459" w:rsidRPr="00E91EEC">
        <w:rPr>
          <w:rFonts w:cstheme="minorHAnsi"/>
          <w:lang w:val="sr-Latn-CS"/>
        </w:rPr>
        <w:t xml:space="preserve"> neće biti bogatiji zbog takve statističke alhemije i šminke.</w:t>
      </w:r>
    </w:p>
    <w:p w:rsidR="00C04459" w:rsidRPr="00E91EEC" w:rsidRDefault="00D507F1" w:rsidP="002E42BF">
      <w:pPr>
        <w:jc w:val="both"/>
        <w:rPr>
          <w:lang w:val="sr-Latn-CS"/>
        </w:rPr>
      </w:pPr>
      <w:r w:rsidRPr="00E91EEC">
        <w:rPr>
          <w:lang w:val="sr-Latn-CS"/>
        </w:rPr>
        <w:t>Iako</w:t>
      </w:r>
      <w:r w:rsidR="00C04459" w:rsidRPr="00E91EEC">
        <w:rPr>
          <w:lang w:val="sr-Latn-CS"/>
        </w:rPr>
        <w:t xml:space="preserve"> </w:t>
      </w:r>
      <w:r w:rsidRPr="00E91EEC">
        <w:rPr>
          <w:lang w:val="sr-Latn-CS"/>
        </w:rPr>
        <w:t xml:space="preserve">zemlje </w:t>
      </w:r>
      <w:r w:rsidR="005F68CE" w:rsidRPr="00E91EEC">
        <w:rPr>
          <w:lang w:val="sr-Latn-CS"/>
        </w:rPr>
        <w:t>c</w:t>
      </w:r>
      <w:r w:rsidR="00C04459" w:rsidRPr="00E91EEC">
        <w:rPr>
          <w:lang w:val="sr-Latn-CS"/>
        </w:rPr>
        <w:t>entraln</w:t>
      </w:r>
      <w:r w:rsidRPr="00E91EEC">
        <w:rPr>
          <w:lang w:val="sr-Latn-CS"/>
        </w:rPr>
        <w:t xml:space="preserve">e </w:t>
      </w:r>
      <w:r w:rsidR="005F68CE" w:rsidRPr="00E91EEC">
        <w:rPr>
          <w:lang w:val="sr-Latn-CS"/>
        </w:rPr>
        <w:t>i i</w:t>
      </w:r>
      <w:r w:rsidR="00C04459" w:rsidRPr="00E91EEC">
        <w:rPr>
          <w:lang w:val="sr-Latn-CS"/>
        </w:rPr>
        <w:t>stočn</w:t>
      </w:r>
      <w:r w:rsidRPr="00E91EEC">
        <w:rPr>
          <w:lang w:val="sr-Latn-CS"/>
        </w:rPr>
        <w:t>e</w:t>
      </w:r>
      <w:r w:rsidR="00C04459" w:rsidRPr="00E91EEC">
        <w:rPr>
          <w:lang w:val="sr-Latn-CS"/>
        </w:rPr>
        <w:t xml:space="preserve"> Evrop</w:t>
      </w:r>
      <w:r w:rsidRPr="00E91EEC">
        <w:rPr>
          <w:lang w:val="sr-Latn-CS"/>
        </w:rPr>
        <w:t xml:space="preserve">e imaju pristup regionalnim fondovima i dobijaju diplomatsku podršku od starih članica EU, postoje važna pitanja koja čine da se nove članice EU </w:t>
      </w:r>
      <w:r w:rsidR="00900DF1" w:rsidRPr="00E91EEC">
        <w:rPr>
          <w:lang w:val="sr-Latn-CS"/>
        </w:rPr>
        <w:t xml:space="preserve">i dalje </w:t>
      </w:r>
      <w:r w:rsidR="005F68CE" w:rsidRPr="00E91EEC">
        <w:rPr>
          <w:lang w:val="sr-Latn-CS"/>
        </w:rPr>
        <w:t>osećaju kao članice drugog reda</w:t>
      </w:r>
      <w:r w:rsidRPr="00E91EEC">
        <w:rPr>
          <w:lang w:val="sr-Latn-CS"/>
        </w:rPr>
        <w:t xml:space="preserve">. Ovo se </w:t>
      </w:r>
      <w:r w:rsidR="005F68CE" w:rsidRPr="00E91EEC">
        <w:rPr>
          <w:lang w:val="sr-Latn-CS"/>
        </w:rPr>
        <w:t xml:space="preserve">jasno vidi iz </w:t>
      </w:r>
      <w:r w:rsidRPr="00E91EEC">
        <w:rPr>
          <w:lang w:val="sr-Latn-CS"/>
        </w:rPr>
        <w:t>način</w:t>
      </w:r>
      <w:r w:rsidR="005F68CE" w:rsidRPr="00E91EEC">
        <w:rPr>
          <w:lang w:val="sr-Latn-CS"/>
        </w:rPr>
        <w:t>a</w:t>
      </w:r>
      <w:r w:rsidRPr="00E91EEC">
        <w:rPr>
          <w:lang w:val="sr-Latn-CS"/>
        </w:rPr>
        <w:t xml:space="preserve"> na koji se zapadne kompanije odnose prema potrošačima na istoku</w:t>
      </w:r>
      <w:r w:rsidR="00900DF1" w:rsidRPr="00E91EEC">
        <w:rPr>
          <w:lang w:val="sr-Latn-CS"/>
        </w:rPr>
        <w:t xml:space="preserve"> EU</w:t>
      </w:r>
      <w:r w:rsidRPr="00E91EEC">
        <w:rPr>
          <w:lang w:val="sr-Latn-CS"/>
        </w:rPr>
        <w:t>.</w:t>
      </w:r>
    </w:p>
    <w:p w:rsidR="00D507F1" w:rsidRPr="00E91EEC" w:rsidRDefault="00D507F1" w:rsidP="002E42BF">
      <w:pPr>
        <w:jc w:val="both"/>
        <w:rPr>
          <w:rFonts w:cstheme="minorHAnsi"/>
          <w:lang w:val="sr-Latn-CS"/>
        </w:rPr>
      </w:pPr>
      <w:r w:rsidRPr="00E91EEC">
        <w:rPr>
          <w:lang w:val="sr-Latn-CS"/>
        </w:rPr>
        <w:t>Iako EU ima jedinstveno tržište, dualni kvalitet i različiti standardi između „stare“ (zapadne) i „nove“ (istočne) EU su i dalje očigledni i uznemiravajući. U istočnom delu EU se prodaje lošiji kvalitet hrane (riblji štapići, jogurt, čokolada,…) i drugih dobara (prašak za veš). Potrošači u istočnom delu EU</w:t>
      </w:r>
      <w:r w:rsidR="0022695B" w:rsidRPr="00E91EEC">
        <w:rPr>
          <w:lang w:val="sr-Latn-CS"/>
        </w:rPr>
        <w:t xml:space="preserve"> su dovedeni u zabludu, čak i prevareni, drugorazrednim kvalitetom standardnih brendiranih proizvoda. Hiljade Čeha, Slovaka i Mađara prelaze granicu sa Nemačkom i Austrijom svake nedelje, kako bi kupovali renomirane proizvode ne samo po nižim cenama, već i boljeg kvaliteta, koji su upakovani u iste ambalaže, ali imaju daleko </w:t>
      </w:r>
      <w:r w:rsidR="00900DF1" w:rsidRPr="00E91EEC">
        <w:rPr>
          <w:lang w:val="sr-Latn-CS"/>
        </w:rPr>
        <w:t xml:space="preserve">bolji </w:t>
      </w:r>
      <w:r w:rsidR="0022695B" w:rsidRPr="00E91EEC">
        <w:rPr>
          <w:lang w:val="sr-Latn-CS"/>
        </w:rPr>
        <w:t>kvalitet u državama na zapadu EU. Na primer, u Sloveniji ’Spar</w:t>
      </w:r>
      <w:r w:rsidR="00710E8D" w:rsidRPr="00E91EEC">
        <w:rPr>
          <w:lang w:val="sr-Latn-CS"/>
        </w:rPr>
        <w:t>, za čiji je sopstveni brend jogurta od jagode otkriveno da on u Sloveniji sadrži 40% manje jagode nego austrijska verzija tog jogurta, rekao je da oni proizvode ono što Slovenci žele’.</w:t>
      </w:r>
      <w:r w:rsidR="00710E8D" w:rsidRPr="00E91EEC">
        <w:rPr>
          <w:rStyle w:val="FootnoteReference"/>
          <w:rFonts w:cstheme="minorHAnsi"/>
          <w:lang w:val="sr-Latn-CS"/>
        </w:rPr>
        <w:footnoteReference w:id="7"/>
      </w:r>
      <w:r w:rsidR="00710E8D" w:rsidRPr="00E91EEC">
        <w:rPr>
          <w:rFonts w:ascii="Times New Roman" w:hAnsi="Times New Roman"/>
          <w:lang w:val="sr-Latn-CS"/>
        </w:rPr>
        <w:t xml:space="preserve"> </w:t>
      </w:r>
      <w:r w:rsidR="00710E8D" w:rsidRPr="00E91EEC">
        <w:rPr>
          <w:rFonts w:cstheme="minorHAnsi"/>
          <w:lang w:val="sr-Latn-CS"/>
        </w:rPr>
        <w:t>Koliko je ubedljiva ova izjava, to je drugo pitanje.</w:t>
      </w:r>
    </w:p>
    <w:p w:rsidR="000B7D68" w:rsidRPr="00D15A18" w:rsidRDefault="00900DF1" w:rsidP="002E42BF">
      <w:pPr>
        <w:jc w:val="both"/>
        <w:rPr>
          <w:rFonts w:cstheme="minorHAnsi"/>
          <w:lang w:val="sr-Latn-CS"/>
        </w:rPr>
      </w:pPr>
      <w:r w:rsidRPr="00D15A18">
        <w:rPr>
          <w:rFonts w:cstheme="minorHAnsi"/>
          <w:lang w:val="sr-Latn-CS"/>
        </w:rPr>
        <w:t>Žan Klod Junker</w:t>
      </w:r>
      <w:r w:rsidR="00710E8D" w:rsidRPr="00D15A18">
        <w:rPr>
          <w:rFonts w:cstheme="minorHAnsi"/>
          <w:lang w:val="sr-Latn-CS"/>
        </w:rPr>
        <w:t>, predsednik Evropske komisije</w:t>
      </w:r>
      <w:r w:rsidR="0069362C" w:rsidRPr="00D15A18">
        <w:rPr>
          <w:rFonts w:cstheme="minorHAnsi"/>
          <w:lang w:val="sr-Latn-CS"/>
        </w:rPr>
        <w:t xml:space="preserve">, </w:t>
      </w:r>
      <w:r w:rsidRPr="00D15A18">
        <w:rPr>
          <w:rFonts w:cstheme="minorHAnsi"/>
          <w:lang w:val="sr-Latn-CS"/>
        </w:rPr>
        <w:t>izjavio</w:t>
      </w:r>
      <w:r w:rsidR="0069362C" w:rsidRPr="00D15A18">
        <w:rPr>
          <w:rFonts w:cstheme="minorHAnsi"/>
          <w:lang w:val="sr-Latn-CS"/>
        </w:rPr>
        <w:t xml:space="preserve"> je na ovaj </w:t>
      </w:r>
      <w:r w:rsidR="00710E8D" w:rsidRPr="00D15A18">
        <w:rPr>
          <w:rFonts w:cstheme="minorHAnsi"/>
          <w:lang w:val="sr-Latn-CS"/>
        </w:rPr>
        <w:t>„aparthejd hrane“</w:t>
      </w:r>
      <w:r w:rsidR="0069362C" w:rsidRPr="00D15A18">
        <w:rPr>
          <w:rFonts w:cstheme="minorHAnsi"/>
          <w:lang w:val="sr-Latn-CS"/>
        </w:rPr>
        <w:t xml:space="preserve"> da: „U Uniji jednakih, ne bi trebalo da bude potrošača druge klase. Neću prihvatiti da se u nekim delovima EU ljudima prodaje hrana lošijeg kvaliteta nego što je u drugim državama, bez obzira na to što je pakovanje i brendiranje identično.“</w:t>
      </w:r>
      <w:r w:rsidR="0069362C" w:rsidRPr="00D15A18">
        <w:rPr>
          <w:rStyle w:val="FootnoteReference"/>
          <w:rFonts w:cstheme="minorHAnsi"/>
          <w:lang w:val="sr-Latn-CS"/>
        </w:rPr>
        <w:footnoteReference w:id="8"/>
      </w:r>
      <w:r w:rsidR="0069362C" w:rsidRPr="00D15A18">
        <w:rPr>
          <w:rFonts w:cstheme="minorHAnsi"/>
          <w:lang w:val="sr-Latn-CS"/>
        </w:rPr>
        <w:t xml:space="preserve"> Industrija odbacuje ovu kritiku pod izgovorom</w:t>
      </w:r>
      <w:r w:rsidR="009D6908" w:rsidRPr="00D15A18">
        <w:rPr>
          <w:rFonts w:cstheme="minorHAnsi"/>
          <w:lang w:val="sr-Latn-CS"/>
        </w:rPr>
        <w:t xml:space="preserve"> da do</w:t>
      </w:r>
      <w:r w:rsidR="0069362C" w:rsidRPr="00D15A18">
        <w:rPr>
          <w:rFonts w:cstheme="minorHAnsi"/>
          <w:lang w:val="sr-Latn-CS"/>
        </w:rPr>
        <w:t xml:space="preserve"> razlik</w:t>
      </w:r>
      <w:r w:rsidR="009D6908" w:rsidRPr="00D15A18">
        <w:rPr>
          <w:rFonts w:cstheme="minorHAnsi"/>
          <w:lang w:val="sr-Latn-CS"/>
        </w:rPr>
        <w:t>a</w:t>
      </w:r>
      <w:r w:rsidR="0069362C" w:rsidRPr="00D15A18">
        <w:rPr>
          <w:rFonts w:cstheme="minorHAnsi"/>
          <w:lang w:val="sr-Latn-CS"/>
        </w:rPr>
        <w:t xml:space="preserve"> u verzijama </w:t>
      </w:r>
      <w:r w:rsidR="009D6908" w:rsidRPr="00D15A18">
        <w:rPr>
          <w:rFonts w:cstheme="minorHAnsi"/>
          <w:lang w:val="sr-Latn-CS"/>
        </w:rPr>
        <w:t xml:space="preserve">proizvoda dolazi zbog prilagođavanja proizvoda preferencijama lokalnih potrošača i korišćenja lokalnih inputa. </w:t>
      </w:r>
      <w:r w:rsidR="00525109" w:rsidRPr="00D15A18">
        <w:rPr>
          <w:rFonts w:cstheme="minorHAnsi"/>
          <w:lang w:val="sr-Latn-CS"/>
        </w:rPr>
        <w:t>Međutim, bilo bi teško osnovano argumentovati da Slovak ili Mađar preferiraju lošiju verziju praška za veš od Nemca ili Austrijanca, čak iako je pakovanje isto, izuzev nekoliko (važnih) reči i procenat</w:t>
      </w:r>
      <w:r w:rsidR="00FF49CB" w:rsidRPr="00D15A18">
        <w:rPr>
          <w:rFonts w:cstheme="minorHAnsi"/>
          <w:lang w:val="sr-Latn-CS"/>
        </w:rPr>
        <w:t>a koji su sakriveni u sitnim slovima na ambalaži, koje se čak niko i ne trudi da čita, sve do ovog trenutka, verovatno.</w:t>
      </w:r>
      <w:r w:rsidR="00FF49CB" w:rsidRPr="00D15A18">
        <w:rPr>
          <w:rStyle w:val="FootnoteReference"/>
          <w:rFonts w:cstheme="minorHAnsi"/>
          <w:lang w:val="sr-Latn-CS"/>
        </w:rPr>
        <w:footnoteReference w:id="9"/>
      </w:r>
      <w:r w:rsidR="00525109" w:rsidRPr="00D15A18">
        <w:rPr>
          <w:rFonts w:cstheme="minorHAnsi"/>
          <w:lang w:val="sr-Latn-CS"/>
        </w:rPr>
        <w:t xml:space="preserve"> </w:t>
      </w:r>
    </w:p>
    <w:p w:rsidR="009D6908" w:rsidRPr="00D15A18" w:rsidRDefault="000B7D68" w:rsidP="002E42BF">
      <w:pPr>
        <w:jc w:val="both"/>
        <w:rPr>
          <w:rFonts w:cstheme="minorHAnsi"/>
          <w:lang w:val="sr-Latn-CS"/>
        </w:rPr>
      </w:pPr>
      <w:r w:rsidRPr="00D15A18">
        <w:rPr>
          <w:rFonts w:cstheme="minorHAnsi"/>
          <w:lang w:val="sr-Latn-CS"/>
        </w:rPr>
        <w:lastRenderedPageBreak/>
        <w:t>Lideri u „starim</w:t>
      </w:r>
      <w:r w:rsidR="00CF3B8D" w:rsidRPr="00D15A18">
        <w:rPr>
          <w:rFonts w:cstheme="minorHAnsi"/>
          <w:lang w:val="sr-Latn-CS"/>
        </w:rPr>
        <w:t>“ EU</w:t>
      </w:r>
      <w:r w:rsidRPr="00D15A18">
        <w:rPr>
          <w:rFonts w:cstheme="minorHAnsi"/>
          <w:lang w:val="sr-Latn-CS"/>
        </w:rPr>
        <w:t xml:space="preserve"> državama nisu bil</w:t>
      </w:r>
      <w:r w:rsidR="002E42BF" w:rsidRPr="00D15A18">
        <w:rPr>
          <w:rFonts w:cstheme="minorHAnsi"/>
          <w:lang w:val="sr-Latn-CS"/>
        </w:rPr>
        <w:t>i</w:t>
      </w:r>
      <w:r w:rsidRPr="00D15A18">
        <w:rPr>
          <w:rFonts w:cstheme="minorHAnsi"/>
          <w:lang w:val="sr-Latn-CS"/>
        </w:rPr>
        <w:t xml:space="preserve"> u stanju da objasne svojim građanima sveukupne koristi od proširivanja na istok. Percepcija </w:t>
      </w:r>
      <w:r w:rsidR="002E42BF" w:rsidRPr="00D15A18">
        <w:rPr>
          <w:rFonts w:cstheme="minorHAnsi"/>
          <w:lang w:val="sr-Latn-CS"/>
        </w:rPr>
        <w:t>z</w:t>
      </w:r>
      <w:r w:rsidRPr="00D15A18">
        <w:rPr>
          <w:rFonts w:cstheme="minorHAnsi"/>
          <w:lang w:val="sr-Latn-CS"/>
        </w:rPr>
        <w:t>apadne Evrope je da se njihovi poslovi sele na istok,  kao i to da radnici koji migriraju sa istoka uzimaju domać</w:t>
      </w:r>
      <w:r w:rsidR="002D7029" w:rsidRPr="00D15A18">
        <w:rPr>
          <w:rFonts w:cstheme="minorHAnsi"/>
          <w:lang w:val="sr-Latn-CS"/>
        </w:rPr>
        <w:t>a radna mesta</w:t>
      </w:r>
      <w:r w:rsidRPr="00D15A18">
        <w:rPr>
          <w:rFonts w:cstheme="minorHAnsi"/>
          <w:lang w:val="sr-Latn-CS"/>
        </w:rPr>
        <w:t xml:space="preserve">. U isto vreme, političari na istoku EU verovatno precenjuju koristi EU u svojim zemljama. „Hrvati gledaju očajničke poteze EU da </w:t>
      </w:r>
      <w:r w:rsidR="006B3171" w:rsidRPr="00D15A18">
        <w:rPr>
          <w:rFonts w:cstheme="minorHAnsi"/>
          <w:lang w:val="sr-Latn-CS"/>
        </w:rPr>
        <w:t>suzbiju</w:t>
      </w:r>
      <w:r w:rsidRPr="00D15A18">
        <w:rPr>
          <w:rFonts w:cstheme="minorHAnsi"/>
          <w:lang w:val="sr-Latn-CS"/>
        </w:rPr>
        <w:t xml:space="preserve"> krizu </w:t>
      </w:r>
      <w:r w:rsidR="006B3171" w:rsidRPr="00D15A18">
        <w:rPr>
          <w:rFonts w:cstheme="minorHAnsi"/>
          <w:lang w:val="sr-Latn-CS"/>
        </w:rPr>
        <w:t>evro</w:t>
      </w:r>
      <w:r w:rsidR="00F27FDC" w:rsidRPr="00D15A18">
        <w:rPr>
          <w:rFonts w:cstheme="minorHAnsi"/>
          <w:lang w:val="sr-Latn-CS"/>
        </w:rPr>
        <w:t>-</w:t>
      </w:r>
      <w:r w:rsidR="006B3171" w:rsidRPr="00D15A18">
        <w:rPr>
          <w:rFonts w:cstheme="minorHAnsi"/>
          <w:lang w:val="sr-Latn-CS"/>
        </w:rPr>
        <w:t>zone i pitaju se</w:t>
      </w:r>
      <w:r w:rsidR="002E42BF" w:rsidRPr="00D15A18">
        <w:rPr>
          <w:rFonts w:cstheme="minorHAnsi"/>
          <w:lang w:val="sr-Latn-CS"/>
        </w:rPr>
        <w:t xml:space="preserve"> </w:t>
      </w:r>
      <w:r w:rsidR="006B3171" w:rsidRPr="00D15A18">
        <w:rPr>
          <w:rFonts w:cstheme="minorHAnsi"/>
          <w:lang w:val="sr-Latn-CS"/>
        </w:rPr>
        <w:t xml:space="preserve">- da li se priključuju </w:t>
      </w:r>
      <w:r w:rsidR="002E42BF" w:rsidRPr="00D15A18">
        <w:rPr>
          <w:rFonts w:cstheme="minorHAnsi"/>
          <w:lang w:val="sr-Latn-CS"/>
        </w:rPr>
        <w:t>u pravo vreme da stignu na sahranu</w:t>
      </w:r>
      <w:r w:rsidR="00F27FDC" w:rsidRPr="00D15A18">
        <w:rPr>
          <w:rFonts w:cstheme="minorHAnsi"/>
          <w:lang w:val="sr-Latn-CS"/>
        </w:rPr>
        <w:t>.“</w:t>
      </w:r>
      <w:r w:rsidR="00F27FDC" w:rsidRPr="00D15A18">
        <w:rPr>
          <w:rStyle w:val="FootnoteReference"/>
          <w:rFonts w:cstheme="minorHAnsi"/>
          <w:lang w:val="sr-Latn-CS"/>
        </w:rPr>
        <w:footnoteReference w:id="10"/>
      </w:r>
      <w:r w:rsidR="00F27FDC" w:rsidRPr="00D15A18">
        <w:rPr>
          <w:rFonts w:cstheme="minorHAnsi"/>
          <w:lang w:val="sr-Latn-CS"/>
        </w:rPr>
        <w:t xml:space="preserve"> Stanovništvo u EU ne ide </w:t>
      </w:r>
      <w:r w:rsidR="002D7029" w:rsidRPr="00D15A18">
        <w:rPr>
          <w:rFonts w:cstheme="minorHAnsi"/>
          <w:lang w:val="sr-Latn-CS"/>
        </w:rPr>
        <w:t xml:space="preserve">na barikade </w:t>
      </w:r>
      <w:r w:rsidR="00F27FDC" w:rsidRPr="00D15A18">
        <w:rPr>
          <w:rFonts w:cstheme="minorHAnsi"/>
          <w:lang w:val="sr-Latn-CS"/>
        </w:rPr>
        <w:t>da protestuje kako bi branil</w:t>
      </w:r>
      <w:r w:rsidR="002E42BF" w:rsidRPr="00D15A18">
        <w:rPr>
          <w:rFonts w:cstheme="minorHAnsi"/>
          <w:lang w:val="sr-Latn-CS"/>
        </w:rPr>
        <w:t>o</w:t>
      </w:r>
      <w:r w:rsidR="00F27FDC" w:rsidRPr="00D15A18">
        <w:rPr>
          <w:rFonts w:cstheme="minorHAnsi"/>
          <w:lang w:val="sr-Latn-CS"/>
        </w:rPr>
        <w:t xml:space="preserve"> EU. Trenutna ravnodušnost prema EU, ili čak skepticizam, je zabrinjavajući.</w:t>
      </w:r>
    </w:p>
    <w:p w:rsidR="002D7029" w:rsidRPr="00D15A18" w:rsidRDefault="002D7029" w:rsidP="002E42BF">
      <w:pPr>
        <w:jc w:val="both"/>
        <w:rPr>
          <w:rFonts w:cstheme="minorHAnsi"/>
          <w:lang w:val="sr-Latn-CS"/>
        </w:rPr>
      </w:pPr>
    </w:p>
    <w:p w:rsidR="000D4D71" w:rsidRPr="00D15A18" w:rsidRDefault="00F96919" w:rsidP="000B7D68">
      <w:pPr>
        <w:rPr>
          <w:rFonts w:cstheme="minorHAnsi"/>
          <w:b/>
          <w:lang w:val="sr-Latn-CS"/>
        </w:rPr>
      </w:pPr>
      <w:r w:rsidRPr="00D15A18">
        <w:rPr>
          <w:rFonts w:cstheme="minorHAnsi"/>
          <w:b/>
          <w:lang w:val="sr-Latn-CS"/>
        </w:rPr>
        <w:t>4. Redovi</w:t>
      </w:r>
      <w:r w:rsidR="002D7029" w:rsidRPr="00D15A18">
        <w:rPr>
          <w:rFonts w:cstheme="minorHAnsi"/>
          <w:b/>
          <w:lang w:val="sr-Latn-CS"/>
        </w:rPr>
        <w:t xml:space="preserve"> u EU</w:t>
      </w:r>
      <w:r w:rsidRPr="00D15A18">
        <w:rPr>
          <w:rFonts w:cstheme="minorHAnsi"/>
          <w:b/>
          <w:lang w:val="sr-Latn-CS"/>
        </w:rPr>
        <w:t xml:space="preserve">: Britanija za izlazak, nekoliko problematičnih za </w:t>
      </w:r>
      <w:r w:rsidR="00317DE0" w:rsidRPr="00D15A18">
        <w:rPr>
          <w:rFonts w:cstheme="minorHAnsi"/>
          <w:b/>
          <w:lang w:val="sr-Latn-CS"/>
        </w:rPr>
        <w:t>pristupanje</w:t>
      </w:r>
    </w:p>
    <w:p w:rsidR="00463B58" w:rsidRPr="00D15A18" w:rsidRDefault="00F96919" w:rsidP="00137A1F">
      <w:pPr>
        <w:jc w:val="both"/>
        <w:rPr>
          <w:rFonts w:cstheme="minorHAnsi"/>
          <w:lang w:val="sr-Latn-CS"/>
        </w:rPr>
      </w:pPr>
      <w:r w:rsidRPr="00D15A18">
        <w:rPr>
          <w:rFonts w:cstheme="minorHAnsi"/>
          <w:lang w:val="sr-Latn-CS"/>
        </w:rPr>
        <w:t xml:space="preserve">Britanija je bila jedan od najvećih zagovornika istočnog proširenja EU. To je </w:t>
      </w:r>
      <w:r w:rsidR="00137A1F" w:rsidRPr="00D15A18">
        <w:rPr>
          <w:rFonts w:cstheme="minorHAnsi"/>
          <w:lang w:val="sr-Latn-CS"/>
        </w:rPr>
        <w:t>u</w:t>
      </w:r>
      <w:r w:rsidRPr="00D15A18">
        <w:rPr>
          <w:rFonts w:cstheme="minorHAnsi"/>
          <w:lang w:val="sr-Latn-CS"/>
        </w:rPr>
        <w:t xml:space="preserve">glavnom zbog toga što bi </w:t>
      </w:r>
      <w:r w:rsidR="00156741" w:rsidRPr="00D15A18">
        <w:rPr>
          <w:rFonts w:cstheme="minorHAnsi"/>
          <w:lang w:val="sr-Latn-CS"/>
        </w:rPr>
        <w:t xml:space="preserve">u proširenoj EU </w:t>
      </w:r>
      <w:r w:rsidRPr="00D15A18">
        <w:rPr>
          <w:rFonts w:cstheme="minorHAnsi"/>
          <w:lang w:val="sr-Latn-CS"/>
        </w:rPr>
        <w:t xml:space="preserve">bilo teže postići dogovor po pitanju </w:t>
      </w:r>
      <w:r w:rsidR="00156741" w:rsidRPr="00D15A18">
        <w:rPr>
          <w:rFonts w:cstheme="minorHAnsi"/>
          <w:lang w:val="sr-Latn-CS"/>
        </w:rPr>
        <w:t xml:space="preserve">dubljih </w:t>
      </w:r>
      <w:r w:rsidRPr="00D15A18">
        <w:rPr>
          <w:rFonts w:cstheme="minorHAnsi"/>
          <w:lang w:val="sr-Latn-CS"/>
        </w:rPr>
        <w:t xml:space="preserve">integracija nego u EU sa jakim francusko-nemačkim centrom. Sada, kada je Britanija na putu da </w:t>
      </w:r>
      <w:r w:rsidR="00156741" w:rsidRPr="00D15A18">
        <w:rPr>
          <w:rFonts w:cstheme="minorHAnsi"/>
          <w:lang w:val="sr-Latn-CS"/>
        </w:rPr>
        <w:t>napusti EU</w:t>
      </w:r>
      <w:r w:rsidRPr="00D15A18">
        <w:rPr>
          <w:rFonts w:cstheme="minorHAnsi"/>
          <w:lang w:val="sr-Latn-CS"/>
        </w:rPr>
        <w:t xml:space="preserve">, nove članice EU iz </w:t>
      </w:r>
      <w:r w:rsidR="00137A1F" w:rsidRPr="00D15A18">
        <w:rPr>
          <w:rFonts w:cstheme="minorHAnsi"/>
          <w:lang w:val="sr-Latn-CS"/>
        </w:rPr>
        <w:t>centralne i i</w:t>
      </w:r>
      <w:r w:rsidRPr="00D15A18">
        <w:rPr>
          <w:rFonts w:cstheme="minorHAnsi"/>
          <w:lang w:val="sr-Latn-CS"/>
        </w:rPr>
        <w:t>stočne Evrope gube jednog o</w:t>
      </w:r>
      <w:r w:rsidR="00137A1F" w:rsidRPr="00D15A18">
        <w:rPr>
          <w:rFonts w:cstheme="minorHAnsi"/>
          <w:lang w:val="sr-Latn-CS"/>
        </w:rPr>
        <w:t>d svojih najvećih pobornika</w:t>
      </w:r>
      <w:r w:rsidRPr="00D15A18">
        <w:rPr>
          <w:rFonts w:cstheme="minorHAnsi"/>
          <w:lang w:val="sr-Latn-CS"/>
        </w:rPr>
        <w:t xml:space="preserve"> i značajnog </w:t>
      </w:r>
      <w:r w:rsidR="00463B58" w:rsidRPr="00D15A18">
        <w:rPr>
          <w:rFonts w:cstheme="minorHAnsi"/>
          <w:lang w:val="sr-Latn-CS"/>
        </w:rPr>
        <w:t>neto priložnika u budžet EU od koga novi članovi profitiraju. Na primer,</w:t>
      </w:r>
    </w:p>
    <w:p w:rsidR="00463B58" w:rsidRPr="00D15A18" w:rsidRDefault="00463B58" w:rsidP="00137A1F">
      <w:pPr>
        <w:jc w:val="both"/>
        <w:rPr>
          <w:rFonts w:cstheme="minorHAnsi"/>
          <w:lang w:val="sr-Latn-CS"/>
        </w:rPr>
      </w:pPr>
      <w:r w:rsidRPr="00D15A18">
        <w:rPr>
          <w:rFonts w:cstheme="minorHAnsi"/>
          <w:i/>
          <w:lang w:val="sr-Latn-CS"/>
        </w:rPr>
        <w:t>Neto doprinos Britanije u 2015. godini, poslednjoj godini kada su podaci bili dostupni, bio je 10.75 milijardi evra, prema dokumentima Evropske Komisije i Evropskog Parlamenta</w:t>
      </w:r>
      <w:r w:rsidRPr="00D15A18">
        <w:rPr>
          <w:rFonts w:cstheme="minorHAnsi"/>
          <w:lang w:val="sr-Latn-CS"/>
        </w:rPr>
        <w:t>.</w:t>
      </w:r>
      <w:r w:rsidRPr="00D15A18">
        <w:rPr>
          <w:rFonts w:cstheme="minorHAnsi"/>
          <w:vertAlign w:val="superscript"/>
          <w:lang w:val="sr-Latn-CS"/>
        </w:rPr>
        <w:footnoteReference w:id="11"/>
      </w:r>
    </w:p>
    <w:p w:rsidR="00F96919" w:rsidRPr="00D15A18" w:rsidRDefault="00463B58" w:rsidP="00137A1F">
      <w:pPr>
        <w:jc w:val="both"/>
        <w:rPr>
          <w:rFonts w:cstheme="minorHAnsi"/>
          <w:lang w:val="sr-Latn-CS"/>
        </w:rPr>
      </w:pPr>
      <w:r w:rsidRPr="00D15A18">
        <w:rPr>
          <w:rFonts w:cstheme="minorHAnsi"/>
          <w:lang w:val="sr-Latn-CS"/>
        </w:rPr>
        <w:t>Bregzit je jedan od naj</w:t>
      </w:r>
      <w:r w:rsidR="00137A1F" w:rsidRPr="00D15A18">
        <w:rPr>
          <w:rFonts w:cstheme="minorHAnsi"/>
          <w:lang w:val="sr-Latn-CS"/>
        </w:rPr>
        <w:t>značajnijih</w:t>
      </w:r>
      <w:r w:rsidRPr="00D15A18">
        <w:rPr>
          <w:rFonts w:cstheme="minorHAnsi"/>
          <w:lang w:val="sr-Latn-CS"/>
        </w:rPr>
        <w:t xml:space="preserve"> </w:t>
      </w:r>
      <w:r w:rsidR="00440154" w:rsidRPr="00D15A18">
        <w:rPr>
          <w:rFonts w:cstheme="minorHAnsi"/>
          <w:lang w:val="sr-Latn-CS"/>
        </w:rPr>
        <w:t>teških udaraca u procesu evropske integracije. EU-e</w:t>
      </w:r>
      <w:r w:rsidR="00156741" w:rsidRPr="00D15A18">
        <w:rPr>
          <w:rFonts w:cstheme="minorHAnsi"/>
          <w:lang w:val="sr-Latn-CS"/>
        </w:rPr>
        <w:t>ntuzijasti nisu zadovoljni time</w:t>
      </w:r>
      <w:r w:rsidR="00440154" w:rsidRPr="00D15A18">
        <w:rPr>
          <w:rFonts w:cstheme="minorHAnsi"/>
          <w:lang w:val="sr-Latn-CS"/>
        </w:rPr>
        <w:t xml:space="preserve"> pošto to može </w:t>
      </w:r>
      <w:r w:rsidR="00156741" w:rsidRPr="00D15A18">
        <w:rPr>
          <w:rFonts w:cstheme="minorHAnsi"/>
          <w:lang w:val="sr-Latn-CS"/>
        </w:rPr>
        <w:t>po</w:t>
      </w:r>
      <w:r w:rsidR="00440154" w:rsidRPr="00D15A18">
        <w:rPr>
          <w:rFonts w:cstheme="minorHAnsi"/>
          <w:lang w:val="sr-Latn-CS"/>
        </w:rPr>
        <w:t>služiti kao presedan za druge</w:t>
      </w:r>
      <w:r w:rsidR="00156741" w:rsidRPr="00D15A18">
        <w:rPr>
          <w:rFonts w:cstheme="minorHAnsi"/>
          <w:lang w:val="sr-Latn-CS"/>
        </w:rPr>
        <w:t xml:space="preserve"> zemlje EU</w:t>
      </w:r>
      <w:r w:rsidR="00440154" w:rsidRPr="00D15A18">
        <w:rPr>
          <w:rFonts w:cstheme="minorHAnsi"/>
          <w:lang w:val="sr-Latn-CS"/>
        </w:rPr>
        <w:t xml:space="preserve">. Ipak, evropska elita pokazala je svoj pravi korporativni stav: </w:t>
      </w:r>
    </w:p>
    <w:p w:rsidR="005623CD" w:rsidRPr="00D15A18" w:rsidRDefault="00440154" w:rsidP="00137A1F">
      <w:pPr>
        <w:jc w:val="both"/>
        <w:rPr>
          <w:rFonts w:cstheme="minorHAnsi"/>
          <w:lang w:val="sr-Latn-CS"/>
        </w:rPr>
      </w:pPr>
      <w:r w:rsidRPr="00D15A18">
        <w:rPr>
          <w:rFonts w:cstheme="minorHAnsi"/>
          <w:lang w:val="sr-Latn-CS"/>
        </w:rPr>
        <w:t>„</w:t>
      </w:r>
      <w:r w:rsidRPr="00D15A18">
        <w:rPr>
          <w:rFonts w:cstheme="minorHAnsi"/>
          <w:i/>
          <w:lang w:val="sr-Latn-CS"/>
        </w:rPr>
        <w:t xml:space="preserve">Bivšeg predsednika EU Hermana van Rompeja su pitali </w:t>
      </w:r>
      <w:r w:rsidR="00311584" w:rsidRPr="00D15A18">
        <w:rPr>
          <w:rFonts w:cstheme="minorHAnsi"/>
          <w:i/>
          <w:lang w:val="sr-Latn-CS"/>
        </w:rPr>
        <w:t>na Bi-Bi-Siju</w:t>
      </w:r>
      <w:r w:rsidRPr="00D15A18">
        <w:rPr>
          <w:rFonts w:cstheme="minorHAnsi"/>
          <w:i/>
          <w:lang w:val="sr-Latn-CS"/>
        </w:rPr>
        <w:t xml:space="preserve"> </w:t>
      </w:r>
      <w:r w:rsidR="00311584" w:rsidRPr="00D15A18">
        <w:rPr>
          <w:rFonts w:cstheme="minorHAnsi"/>
          <w:i/>
          <w:lang w:val="sr-Latn-CS"/>
        </w:rPr>
        <w:t xml:space="preserve">da prokomentariše priče o Bregzitu. Dao je isti odgovor na svako pitanje: samo neka ga plate. On je „pravi EU“, </w:t>
      </w:r>
      <w:r w:rsidR="00137A1F" w:rsidRPr="00D15A18">
        <w:rPr>
          <w:rFonts w:cstheme="minorHAnsi"/>
          <w:i/>
          <w:lang w:val="sr-Latn-CS"/>
        </w:rPr>
        <w:t>klasičan korporativni lik. Evropu</w:t>
      </w:r>
      <w:r w:rsidR="00311584" w:rsidRPr="00D15A18">
        <w:rPr>
          <w:rFonts w:cstheme="minorHAnsi"/>
          <w:i/>
          <w:lang w:val="sr-Latn-CS"/>
        </w:rPr>
        <w:t xml:space="preserve"> nije briga za evropsku privredu niti granice</w:t>
      </w:r>
      <w:r w:rsidR="005623CD" w:rsidRPr="00D15A18">
        <w:rPr>
          <w:rFonts w:cstheme="minorHAnsi"/>
          <w:i/>
          <w:lang w:val="sr-Latn-CS"/>
        </w:rPr>
        <w:t>, n</w:t>
      </w:r>
      <w:r w:rsidR="00311584" w:rsidRPr="00D15A18">
        <w:rPr>
          <w:rFonts w:cstheme="minorHAnsi"/>
          <w:i/>
          <w:lang w:val="sr-Latn-CS"/>
        </w:rPr>
        <w:t xml:space="preserve">iti </w:t>
      </w:r>
      <w:r w:rsidR="005623CD" w:rsidRPr="00D15A18">
        <w:rPr>
          <w:rFonts w:cstheme="minorHAnsi"/>
          <w:i/>
          <w:lang w:val="sr-Latn-CS"/>
        </w:rPr>
        <w:t>nedolični istočni blok. Ona se suočava sa gubitkom prihoda od 20% kada Britanija napusti EU. Ona brine za svoj budžet. Dajte joj keš, rekao je Van Rompej kratko, i Britanija može da napusti EU kako god želi</w:t>
      </w:r>
      <w:r w:rsidR="005623CD" w:rsidRPr="00D15A18">
        <w:rPr>
          <w:rFonts w:cstheme="minorHAnsi"/>
          <w:lang w:val="sr-Latn-CS"/>
        </w:rPr>
        <w:t>.</w:t>
      </w:r>
      <w:r w:rsidRPr="00D15A18">
        <w:rPr>
          <w:rFonts w:cstheme="minorHAnsi"/>
          <w:lang w:val="sr-Latn-CS"/>
        </w:rPr>
        <w:t>“</w:t>
      </w:r>
      <w:r w:rsidR="005623CD" w:rsidRPr="00D15A18">
        <w:rPr>
          <w:rFonts w:cstheme="minorHAnsi"/>
          <w:vertAlign w:val="superscript"/>
          <w:lang w:val="sr-Latn-CS"/>
        </w:rPr>
        <w:footnoteReference w:id="12"/>
      </w:r>
    </w:p>
    <w:p w:rsidR="00544F14" w:rsidRPr="00D15A18" w:rsidRDefault="005623CD" w:rsidP="009D71D2">
      <w:pPr>
        <w:jc w:val="both"/>
        <w:rPr>
          <w:rFonts w:cstheme="minorHAnsi"/>
          <w:lang w:val="sr-Latn-CS"/>
        </w:rPr>
      </w:pPr>
      <w:r w:rsidRPr="00D15A18">
        <w:rPr>
          <w:rFonts w:cstheme="minorHAnsi"/>
          <w:lang w:val="sr-Latn-CS"/>
        </w:rPr>
        <w:t xml:space="preserve">EU ne može da nastavi bez </w:t>
      </w:r>
      <w:r w:rsidR="00AF2A8F" w:rsidRPr="00D15A18">
        <w:rPr>
          <w:rFonts w:cstheme="minorHAnsi"/>
          <w:lang w:val="sr-Latn-CS"/>
        </w:rPr>
        <w:t>temeljnih</w:t>
      </w:r>
      <w:r w:rsidR="00137A1F" w:rsidRPr="00D15A18">
        <w:rPr>
          <w:rFonts w:cstheme="minorHAnsi"/>
          <w:lang w:val="sr-Latn-CS"/>
        </w:rPr>
        <w:t xml:space="preserve"> </w:t>
      </w:r>
      <w:r w:rsidR="00AF2A8F" w:rsidRPr="00D15A18">
        <w:rPr>
          <w:rFonts w:cstheme="minorHAnsi"/>
          <w:lang w:val="sr-Latn-CS"/>
        </w:rPr>
        <w:t xml:space="preserve">promena. Postoji prezasićenost predlozima o budućim reformama i organizaciji EU. Međutim, sadržaj ovih predloga je zabrinjavajući za članice </w:t>
      </w:r>
      <w:r w:rsidR="00137A1F" w:rsidRPr="00D15A18">
        <w:rPr>
          <w:rFonts w:cstheme="minorHAnsi"/>
          <w:lang w:val="sr-Latn-CS"/>
        </w:rPr>
        <w:t>c</w:t>
      </w:r>
      <w:r w:rsidR="00AF2A8F" w:rsidRPr="00D15A18">
        <w:rPr>
          <w:rFonts w:cstheme="minorHAnsi"/>
          <w:lang w:val="sr-Latn-CS"/>
        </w:rPr>
        <w:t xml:space="preserve">entralne i </w:t>
      </w:r>
      <w:r w:rsidR="00137A1F" w:rsidRPr="00D15A18">
        <w:rPr>
          <w:rFonts w:cstheme="minorHAnsi"/>
          <w:lang w:val="sr-Latn-CS"/>
        </w:rPr>
        <w:t>i</w:t>
      </w:r>
      <w:r w:rsidR="00AF2A8F" w:rsidRPr="00D15A18">
        <w:rPr>
          <w:rFonts w:cstheme="minorHAnsi"/>
          <w:lang w:val="sr-Latn-CS"/>
        </w:rPr>
        <w:t xml:space="preserve">stočne Evrope. Zajednička suština ovih </w:t>
      </w:r>
      <w:r w:rsidR="00137A1F" w:rsidRPr="00D15A18">
        <w:rPr>
          <w:rFonts w:cstheme="minorHAnsi"/>
          <w:lang w:val="sr-Latn-CS"/>
        </w:rPr>
        <w:t>predloga</w:t>
      </w:r>
      <w:r w:rsidR="00AF2A8F" w:rsidRPr="00D15A18">
        <w:rPr>
          <w:rFonts w:cstheme="minorHAnsi"/>
          <w:lang w:val="sr-Latn-CS"/>
        </w:rPr>
        <w:t xml:space="preserve"> je da „stvarna EU“ obuhvata države evro-zone. Druge članice EU nisu toliko bit</w:t>
      </w:r>
      <w:r w:rsidR="009D71D2" w:rsidRPr="00D15A18">
        <w:rPr>
          <w:rFonts w:cstheme="minorHAnsi"/>
          <w:lang w:val="sr-Latn-CS"/>
        </w:rPr>
        <w:t>ne. Ovo potvrđuje zabrinjavajuću činjenicu da se EU razvija različitim tempom.</w:t>
      </w:r>
      <w:r w:rsidR="00AF2A8F" w:rsidRPr="00D15A18">
        <w:rPr>
          <w:rFonts w:cstheme="minorHAnsi"/>
          <w:lang w:val="sr-Latn-CS"/>
        </w:rPr>
        <w:t xml:space="preserve"> </w:t>
      </w:r>
      <w:r w:rsidR="00CD2144" w:rsidRPr="00D15A18">
        <w:rPr>
          <w:rFonts w:cstheme="minorHAnsi"/>
          <w:lang w:val="sr-Latn-CS"/>
        </w:rPr>
        <w:t>Bregzit je pojačao ovaj t</w:t>
      </w:r>
      <w:r w:rsidR="00137A1F" w:rsidRPr="00D15A18">
        <w:rPr>
          <w:rFonts w:cstheme="minorHAnsi"/>
          <w:lang w:val="sr-Latn-CS"/>
        </w:rPr>
        <w:t>rend. Zahtevi i ciljevi država centralne i i</w:t>
      </w:r>
      <w:r w:rsidR="00CD2144" w:rsidRPr="00D15A18">
        <w:rPr>
          <w:rFonts w:cstheme="minorHAnsi"/>
          <w:lang w:val="sr-Latn-CS"/>
        </w:rPr>
        <w:t>stočne Evrope u vezi budućnosti EU neće imati, ili će imati slab uticaj u procesu konačn</w:t>
      </w:r>
      <w:r w:rsidR="00544F14" w:rsidRPr="00D15A18">
        <w:rPr>
          <w:rFonts w:cstheme="minorHAnsi"/>
          <w:lang w:val="sr-Latn-CS"/>
        </w:rPr>
        <w:t xml:space="preserve">og donošenja odluka u EU. Na kraju će one (članice </w:t>
      </w:r>
      <w:r w:rsidR="009D71D2" w:rsidRPr="00D15A18">
        <w:rPr>
          <w:rFonts w:cstheme="minorHAnsi"/>
          <w:lang w:val="sr-Latn-CS"/>
        </w:rPr>
        <w:t>centralne i i</w:t>
      </w:r>
      <w:r w:rsidR="00544F14" w:rsidRPr="00D15A18">
        <w:rPr>
          <w:rFonts w:cstheme="minorHAnsi"/>
          <w:lang w:val="sr-Latn-CS"/>
        </w:rPr>
        <w:t xml:space="preserve">stočne Evrope) dobijati naređenja od Brisela, baš kao što su </w:t>
      </w:r>
      <w:r w:rsidR="00156741" w:rsidRPr="00D15A18">
        <w:rPr>
          <w:rFonts w:cstheme="minorHAnsi"/>
          <w:lang w:val="sr-Latn-CS"/>
        </w:rPr>
        <w:t xml:space="preserve">nekada </w:t>
      </w:r>
      <w:r w:rsidR="00544F14" w:rsidRPr="00D15A18">
        <w:rPr>
          <w:rFonts w:cstheme="minorHAnsi"/>
          <w:lang w:val="sr-Latn-CS"/>
        </w:rPr>
        <w:lastRenderedPageBreak/>
        <w:t xml:space="preserve">dobijali naređenja </w:t>
      </w:r>
      <w:r w:rsidR="00156741" w:rsidRPr="00D15A18">
        <w:rPr>
          <w:rFonts w:cstheme="minorHAnsi"/>
          <w:lang w:val="sr-Latn-CS"/>
        </w:rPr>
        <w:t>iz</w:t>
      </w:r>
      <w:r w:rsidR="00544F14" w:rsidRPr="00D15A18">
        <w:rPr>
          <w:rFonts w:cstheme="minorHAnsi"/>
          <w:lang w:val="sr-Latn-CS"/>
        </w:rPr>
        <w:t xml:space="preserve"> Sovjetske Moskve u vreme kada su komunisti bili na čelu bivših socijalističkih država.</w:t>
      </w:r>
    </w:p>
    <w:p w:rsidR="00D95F94" w:rsidRPr="00D15A18" w:rsidRDefault="00544F14" w:rsidP="009D71D2">
      <w:pPr>
        <w:jc w:val="both"/>
        <w:rPr>
          <w:rFonts w:cstheme="minorHAnsi"/>
          <w:lang w:val="sr-Latn-CS"/>
        </w:rPr>
      </w:pPr>
      <w:r w:rsidRPr="00D15A18">
        <w:rPr>
          <w:rFonts w:cstheme="minorHAnsi"/>
          <w:lang w:val="sr-Latn-CS"/>
        </w:rPr>
        <w:t>„</w:t>
      </w:r>
      <w:r w:rsidRPr="00D15A18">
        <w:rPr>
          <w:rFonts w:cstheme="minorHAnsi"/>
          <w:i/>
          <w:lang w:val="sr-Latn-CS"/>
        </w:rPr>
        <w:t xml:space="preserve">Put koji je odabrala EU je da stvori institucije čiji je način delovanja nejasan i čija nadležnost ne može lako da se razume. U takvim okolnostima, </w:t>
      </w:r>
      <w:r w:rsidR="00D95F94" w:rsidRPr="00D15A18">
        <w:rPr>
          <w:rFonts w:cstheme="minorHAnsi"/>
          <w:i/>
          <w:lang w:val="sr-Latn-CS"/>
        </w:rPr>
        <w:t xml:space="preserve">zahtev koji </w:t>
      </w:r>
      <w:r w:rsidR="00137760" w:rsidRPr="00D15A18">
        <w:rPr>
          <w:rFonts w:cstheme="minorHAnsi"/>
          <w:i/>
          <w:lang w:val="sr-Latn-CS"/>
        </w:rPr>
        <w:t>se</w:t>
      </w:r>
      <w:r w:rsidR="00D95F94" w:rsidRPr="00D15A18">
        <w:rPr>
          <w:rFonts w:cstheme="minorHAnsi"/>
          <w:i/>
          <w:lang w:val="sr-Latn-CS"/>
        </w:rPr>
        <w:t xml:space="preserve"> upuć</w:t>
      </w:r>
      <w:r w:rsidR="00137760" w:rsidRPr="00D15A18">
        <w:rPr>
          <w:rFonts w:cstheme="minorHAnsi"/>
          <w:i/>
          <w:lang w:val="sr-Latn-CS"/>
        </w:rPr>
        <w:t>uje</w:t>
      </w:r>
      <w:r w:rsidR="00D95F94" w:rsidRPr="00D15A18">
        <w:rPr>
          <w:rFonts w:cstheme="minorHAnsi"/>
          <w:i/>
          <w:lang w:val="sr-Latn-CS"/>
        </w:rPr>
        <w:t xml:space="preserve"> nedefinisanim </w:t>
      </w:r>
      <w:r w:rsidR="00137760" w:rsidRPr="00D15A18">
        <w:rPr>
          <w:rFonts w:cstheme="minorHAnsi"/>
          <w:i/>
          <w:lang w:val="sr-Latn-CS"/>
        </w:rPr>
        <w:t>vlastima</w:t>
      </w:r>
      <w:r w:rsidR="00D95F94" w:rsidRPr="00D15A18">
        <w:rPr>
          <w:rFonts w:cstheme="minorHAnsi"/>
          <w:i/>
          <w:lang w:val="sr-Latn-CS"/>
        </w:rPr>
        <w:t>, a koji se sprovodi na nejasan način postaje de fakto autoritarizam – autoritarizam koji počiva na kompleksnosti</w:t>
      </w:r>
      <w:r w:rsidR="00D95F94" w:rsidRPr="00D15A18">
        <w:rPr>
          <w:rFonts w:cstheme="minorHAnsi"/>
          <w:lang w:val="sr-Latn-CS"/>
        </w:rPr>
        <w:t>.</w:t>
      </w:r>
      <w:r w:rsidRPr="00D15A18">
        <w:rPr>
          <w:rFonts w:cstheme="minorHAnsi"/>
          <w:lang w:val="sr-Latn-CS"/>
        </w:rPr>
        <w:t>“</w:t>
      </w:r>
      <w:r w:rsidR="00D95F94" w:rsidRPr="00D15A18">
        <w:rPr>
          <w:rFonts w:cstheme="minorHAnsi"/>
          <w:vertAlign w:val="superscript"/>
          <w:lang w:val="sr-Latn-CS"/>
        </w:rPr>
        <w:footnoteReference w:id="13"/>
      </w:r>
      <w:r w:rsidR="00D95F94" w:rsidRPr="00D15A18">
        <w:rPr>
          <w:rFonts w:ascii="Times New Roman" w:eastAsia="DejaVuSansCondensed" w:hAnsi="Times New Roman" w:cs="Times New Roman"/>
          <w:vertAlign w:val="superscript"/>
          <w:lang w:val="sr-Latn-CS" w:eastAsia="en-GB"/>
        </w:rPr>
        <w:t xml:space="preserve">   </w:t>
      </w:r>
      <w:r w:rsidRPr="00D15A18">
        <w:rPr>
          <w:rFonts w:cstheme="minorHAnsi"/>
          <w:lang w:val="sr-Latn-CS"/>
        </w:rPr>
        <w:t xml:space="preserve"> </w:t>
      </w:r>
    </w:p>
    <w:p w:rsidR="007757B7" w:rsidRPr="00D15A18" w:rsidRDefault="007757B7" w:rsidP="009D71D2">
      <w:pPr>
        <w:jc w:val="both"/>
        <w:rPr>
          <w:rFonts w:cstheme="minorHAnsi"/>
          <w:lang w:val="sr-Latn-CS"/>
        </w:rPr>
      </w:pPr>
      <w:r w:rsidRPr="00D15A18">
        <w:rPr>
          <w:rFonts w:cstheme="minorHAnsi"/>
          <w:lang w:val="sr-Latn-CS"/>
        </w:rPr>
        <w:t xml:space="preserve">Ovakvo stanje je obeshrabrujuće i čini pogođene države prilično nervoznim. Ovo </w:t>
      </w:r>
      <w:r w:rsidR="005B3F74" w:rsidRPr="00D15A18">
        <w:rPr>
          <w:rFonts w:cstheme="minorHAnsi"/>
          <w:lang w:val="sr-Latn-CS"/>
        </w:rPr>
        <w:t>stvara</w:t>
      </w:r>
      <w:r w:rsidRPr="00D15A18">
        <w:rPr>
          <w:rFonts w:cstheme="minorHAnsi"/>
          <w:lang w:val="sr-Latn-CS"/>
        </w:rPr>
        <w:t xml:space="preserve"> plodno tlo za razvoj nacionalističkih snaga širom regiona.</w:t>
      </w:r>
    </w:p>
    <w:p w:rsidR="007757B7" w:rsidRPr="00D15A18" w:rsidRDefault="009D71D2" w:rsidP="009D71D2">
      <w:pPr>
        <w:jc w:val="both"/>
        <w:rPr>
          <w:rFonts w:cstheme="minorHAnsi"/>
          <w:lang w:val="sr-Latn-CS"/>
        </w:rPr>
      </w:pPr>
      <w:r w:rsidRPr="00D15A18">
        <w:rPr>
          <w:rFonts w:cstheme="minorHAnsi"/>
          <w:lang w:val="sr-Latn-CS"/>
        </w:rPr>
        <w:t>„</w:t>
      </w:r>
      <w:r w:rsidR="007757B7" w:rsidRPr="00D15A18">
        <w:rPr>
          <w:rFonts w:cstheme="minorHAnsi"/>
          <w:i/>
          <w:lang w:val="sr-Latn-CS"/>
        </w:rPr>
        <w:t>Slušajući Viktora Orbana, mađarskog premijera, čovek se zapita</w:t>
      </w:r>
      <w:r w:rsidR="00666A59" w:rsidRPr="00D15A18">
        <w:rPr>
          <w:rFonts w:cstheme="minorHAnsi"/>
          <w:i/>
          <w:lang w:val="sr-Latn-CS"/>
        </w:rPr>
        <w:t xml:space="preserve"> </w:t>
      </w:r>
      <w:r w:rsidR="007757B7" w:rsidRPr="00D15A18">
        <w:rPr>
          <w:rFonts w:cstheme="minorHAnsi"/>
          <w:i/>
          <w:lang w:val="sr-Latn-CS"/>
        </w:rPr>
        <w:t xml:space="preserve">– koliko dugo </w:t>
      </w:r>
      <w:r w:rsidR="00FC016A" w:rsidRPr="00D15A18">
        <w:rPr>
          <w:rFonts w:cstheme="minorHAnsi"/>
          <w:i/>
          <w:lang w:val="sr-Latn-CS"/>
        </w:rPr>
        <w:t>ova država želeli</w:t>
      </w:r>
      <w:r w:rsidR="007757B7" w:rsidRPr="00D15A18">
        <w:rPr>
          <w:rFonts w:cstheme="minorHAnsi"/>
          <w:i/>
          <w:lang w:val="sr-Latn-CS"/>
        </w:rPr>
        <w:t xml:space="preserve"> da ostane u EU. </w:t>
      </w:r>
      <w:r w:rsidR="00FC016A" w:rsidRPr="00D15A18">
        <w:rPr>
          <w:rFonts w:cstheme="minorHAnsi"/>
          <w:i/>
          <w:lang w:val="sr-Latn-CS"/>
        </w:rPr>
        <w:t>Kada Mađarska prestane da koristi fondove, moguće je da njegov evro-skepticizam više neće biti izazvan</w:t>
      </w:r>
      <w:r w:rsidR="00D54958" w:rsidRPr="00D15A18">
        <w:rPr>
          <w:rFonts w:cstheme="minorHAnsi"/>
          <w:i/>
          <w:lang w:val="sr-Latn-CS"/>
        </w:rPr>
        <w:t xml:space="preserve"> </w:t>
      </w:r>
      <w:r w:rsidR="00FC016A" w:rsidRPr="00D15A18">
        <w:rPr>
          <w:rFonts w:cstheme="minorHAnsi"/>
          <w:i/>
          <w:lang w:val="sr-Latn-CS"/>
        </w:rPr>
        <w:t xml:space="preserve">finansijskim brigama. </w:t>
      </w:r>
      <w:r w:rsidR="00D54958" w:rsidRPr="00D15A18">
        <w:rPr>
          <w:rFonts w:cstheme="minorHAnsi"/>
          <w:i/>
          <w:lang w:val="sr-Latn-CS"/>
        </w:rPr>
        <w:t>Jednom kad V</w:t>
      </w:r>
      <w:r w:rsidRPr="00D15A18">
        <w:rPr>
          <w:rFonts w:cstheme="minorHAnsi"/>
          <w:i/>
          <w:lang w:val="sr-Latn-CS"/>
        </w:rPr>
        <w:t xml:space="preserve">elika </w:t>
      </w:r>
      <w:r w:rsidR="00D54958" w:rsidRPr="00D15A18">
        <w:rPr>
          <w:rFonts w:cstheme="minorHAnsi"/>
          <w:i/>
          <w:lang w:val="sr-Latn-CS"/>
        </w:rPr>
        <w:t>B</w:t>
      </w:r>
      <w:r w:rsidRPr="00D15A18">
        <w:rPr>
          <w:rFonts w:cstheme="minorHAnsi"/>
          <w:i/>
          <w:lang w:val="sr-Latn-CS"/>
        </w:rPr>
        <w:t>ritanija</w:t>
      </w:r>
      <w:r w:rsidR="00D54958" w:rsidRPr="00D15A18">
        <w:rPr>
          <w:rFonts w:cstheme="minorHAnsi"/>
          <w:i/>
          <w:lang w:val="sr-Latn-CS"/>
        </w:rPr>
        <w:t xml:space="preserve"> napusti EU i prestane da daje sredstva u budžet EU, procena „za“ i „protiv“ članstva u EU će se promeniti, naročito od stane članica van evro-zone</w:t>
      </w:r>
      <w:r w:rsidR="00D54958" w:rsidRPr="00D15A18">
        <w:rPr>
          <w:rFonts w:cstheme="minorHAnsi"/>
          <w:lang w:val="sr-Latn-CS"/>
        </w:rPr>
        <w:t>.“</w:t>
      </w:r>
      <w:r w:rsidR="007757B7" w:rsidRPr="00D15A18">
        <w:rPr>
          <w:rFonts w:cstheme="minorHAnsi"/>
          <w:vertAlign w:val="superscript"/>
          <w:lang w:val="sr-Latn-CS"/>
        </w:rPr>
        <w:footnoteReference w:id="14"/>
      </w:r>
    </w:p>
    <w:p w:rsidR="00440154" w:rsidRPr="00D15A18" w:rsidRDefault="0071096B" w:rsidP="009D71D2">
      <w:pPr>
        <w:jc w:val="both"/>
        <w:rPr>
          <w:rFonts w:cstheme="minorHAnsi"/>
          <w:lang w:val="sr-Latn-CS"/>
        </w:rPr>
      </w:pPr>
      <w:r w:rsidRPr="00D15A18">
        <w:rPr>
          <w:rFonts w:cstheme="minorHAnsi"/>
          <w:lang w:val="sr-Latn-CS"/>
        </w:rPr>
        <w:t>Nejasna</w:t>
      </w:r>
      <w:r w:rsidR="001E2D53" w:rsidRPr="00D15A18">
        <w:rPr>
          <w:rFonts w:cstheme="minorHAnsi"/>
          <w:lang w:val="sr-Latn-CS"/>
        </w:rPr>
        <w:t xml:space="preserve"> situacija </w:t>
      </w:r>
      <w:r w:rsidRPr="00D15A18">
        <w:rPr>
          <w:rFonts w:cstheme="minorHAnsi"/>
          <w:lang w:val="sr-Latn-CS"/>
        </w:rPr>
        <w:t xml:space="preserve">i zbrka </w:t>
      </w:r>
      <w:r w:rsidR="001E2D53" w:rsidRPr="00D15A18">
        <w:rPr>
          <w:rFonts w:cstheme="minorHAnsi"/>
          <w:lang w:val="sr-Latn-CS"/>
        </w:rPr>
        <w:t>u EU</w:t>
      </w:r>
      <w:r w:rsidR="00000D1D" w:rsidRPr="00D15A18">
        <w:rPr>
          <w:rFonts w:cstheme="minorHAnsi"/>
          <w:lang w:val="sr-Latn-CS"/>
        </w:rPr>
        <w:t xml:space="preserve"> nema rešenja na vidiku. Sit</w:t>
      </w:r>
      <w:r w:rsidR="009D71D2" w:rsidRPr="00D15A18">
        <w:rPr>
          <w:rFonts w:cstheme="minorHAnsi"/>
          <w:lang w:val="sr-Latn-CS"/>
        </w:rPr>
        <w:t xml:space="preserve">uacija je zakomplikovana </w:t>
      </w:r>
      <w:r w:rsidR="00000D1D" w:rsidRPr="00D15A18">
        <w:rPr>
          <w:rFonts w:cstheme="minorHAnsi"/>
          <w:lang w:val="sr-Latn-CS"/>
        </w:rPr>
        <w:t>privredom koja ne raste</w:t>
      </w:r>
      <w:r w:rsidR="00BC0D64" w:rsidRPr="00D15A18">
        <w:rPr>
          <w:rFonts w:cstheme="minorHAnsi"/>
          <w:lang w:val="sr-Latn-CS"/>
        </w:rPr>
        <w:t>, a temelji takve ekonomske anemije su u pravilima</w:t>
      </w:r>
      <w:r w:rsidR="009D71D2" w:rsidRPr="00D15A18">
        <w:rPr>
          <w:rFonts w:cstheme="minorHAnsi"/>
          <w:lang w:val="sr-Latn-CS"/>
        </w:rPr>
        <w:t xml:space="preserve"> evro-zone</w:t>
      </w:r>
      <w:r w:rsidR="00000D1D" w:rsidRPr="00D15A18">
        <w:rPr>
          <w:rFonts w:cstheme="minorHAnsi"/>
          <w:lang w:val="sr-Latn-CS"/>
        </w:rPr>
        <w:t xml:space="preserve">; potezima vezanim za nezavisnost Katalonije koji imaju potencijalne </w:t>
      </w:r>
      <w:r w:rsidR="007126CA" w:rsidRPr="00D15A18">
        <w:rPr>
          <w:rFonts w:cstheme="minorHAnsi"/>
          <w:lang w:val="sr-Latn-CS"/>
        </w:rPr>
        <w:t>pogubne posledice širom Evrope;</w:t>
      </w:r>
      <w:r w:rsidR="007126CA" w:rsidRPr="00D15A18">
        <w:rPr>
          <w:rFonts w:cstheme="minorHAnsi"/>
          <w:vertAlign w:val="superscript"/>
          <w:lang w:val="sr-Latn-CS"/>
        </w:rPr>
        <w:footnoteReference w:id="15"/>
      </w:r>
      <w:r w:rsidR="007126CA" w:rsidRPr="00D15A18">
        <w:rPr>
          <w:rFonts w:ascii="Times New Roman" w:eastAsia="Times New Roman" w:hAnsi="Times New Roman" w:cs="Times New Roman"/>
          <w:vertAlign w:val="superscript"/>
          <w:lang w:val="sr-Latn-CS"/>
        </w:rPr>
        <w:t xml:space="preserve"> </w:t>
      </w:r>
      <w:r w:rsidR="00BC0D64" w:rsidRPr="00D15A18">
        <w:rPr>
          <w:rFonts w:cstheme="minorHAnsi"/>
          <w:lang w:val="sr-Latn-CS"/>
        </w:rPr>
        <w:t>masovna</w:t>
      </w:r>
      <w:r w:rsidR="007126CA" w:rsidRPr="00D15A18">
        <w:rPr>
          <w:rFonts w:cstheme="minorHAnsi"/>
          <w:lang w:val="sr-Latn-CS"/>
        </w:rPr>
        <w:t xml:space="preserve"> imigracij</w:t>
      </w:r>
      <w:r w:rsidR="00BC0D64" w:rsidRPr="00D15A18">
        <w:rPr>
          <w:rFonts w:cstheme="minorHAnsi"/>
          <w:lang w:val="sr-Latn-CS"/>
        </w:rPr>
        <w:t>a</w:t>
      </w:r>
      <w:r w:rsidR="007126CA" w:rsidRPr="00D15A18">
        <w:rPr>
          <w:rFonts w:cstheme="minorHAnsi"/>
          <w:lang w:val="sr-Latn-CS"/>
        </w:rPr>
        <w:t xml:space="preserve">, samo su neki od problema. </w:t>
      </w:r>
      <w:r w:rsidR="00144FBC" w:rsidRPr="00D15A18">
        <w:rPr>
          <w:rFonts w:cstheme="minorHAnsi"/>
          <w:lang w:val="sr-Latn-CS"/>
        </w:rPr>
        <w:t>U ovakvoj situaciji, Bregzit možda i nije najveći problem E</w:t>
      </w:r>
      <w:r w:rsidR="00BC0D64" w:rsidRPr="00D15A18">
        <w:rPr>
          <w:rFonts w:cstheme="minorHAnsi"/>
          <w:lang w:val="sr-Latn-CS"/>
        </w:rPr>
        <w:t>U</w:t>
      </w:r>
      <w:r w:rsidR="00144FBC" w:rsidRPr="00D15A18">
        <w:rPr>
          <w:rFonts w:cstheme="minorHAnsi"/>
          <w:lang w:val="sr-Latn-CS"/>
        </w:rPr>
        <w:t>, iako može da je košta puno vremena i drugih resursa u predstojećim godinama. U takvoj situaciji</w:t>
      </w:r>
    </w:p>
    <w:p w:rsidR="009D2BCC" w:rsidRPr="00D15A18" w:rsidRDefault="00144FBC" w:rsidP="009D71D2">
      <w:pPr>
        <w:jc w:val="both"/>
        <w:rPr>
          <w:rFonts w:cstheme="minorHAnsi"/>
          <w:lang w:val="sr-Latn-CS"/>
        </w:rPr>
      </w:pPr>
      <w:r w:rsidRPr="00D15A18">
        <w:rPr>
          <w:rFonts w:cstheme="minorHAnsi"/>
          <w:lang w:val="sr-Latn-CS"/>
        </w:rPr>
        <w:t>„</w:t>
      </w:r>
      <w:r w:rsidRPr="00D15A18">
        <w:rPr>
          <w:rFonts w:cstheme="minorHAnsi"/>
          <w:i/>
          <w:lang w:val="sr-Latn-CS"/>
        </w:rPr>
        <w:t>Brisel se suočava sa narastajućom krizom u kojoj Britanija odlazi, odnosi sa Turskom su propali, proces proširenja je završen, a Ukrajina je otišla u zaborav</w:t>
      </w:r>
      <w:r w:rsidR="009D71D2" w:rsidRPr="00D15A18">
        <w:rPr>
          <w:rFonts w:cstheme="minorHAnsi"/>
          <w:i/>
          <w:lang w:val="sr-Latn-CS"/>
        </w:rPr>
        <w:t xml:space="preserve">. Ovo vapi za </w:t>
      </w:r>
      <w:r w:rsidRPr="00D15A18">
        <w:rPr>
          <w:rFonts w:cstheme="minorHAnsi"/>
          <w:i/>
          <w:lang w:val="sr-Latn-CS"/>
        </w:rPr>
        <w:t>ozbilj</w:t>
      </w:r>
      <w:r w:rsidR="009D2BCC" w:rsidRPr="00D15A18">
        <w:rPr>
          <w:rFonts w:cstheme="minorHAnsi"/>
          <w:i/>
          <w:lang w:val="sr-Latn-CS"/>
        </w:rPr>
        <w:t>no</w:t>
      </w:r>
      <w:r w:rsidR="009D71D2" w:rsidRPr="00D15A18">
        <w:rPr>
          <w:rFonts w:cstheme="minorHAnsi"/>
          <w:i/>
          <w:lang w:val="sr-Latn-CS"/>
        </w:rPr>
        <w:t>m</w:t>
      </w:r>
      <w:r w:rsidRPr="00D15A18">
        <w:rPr>
          <w:rFonts w:cstheme="minorHAnsi"/>
          <w:i/>
          <w:lang w:val="sr-Latn-CS"/>
        </w:rPr>
        <w:t xml:space="preserve"> strategijsk</w:t>
      </w:r>
      <w:r w:rsidR="009D2BCC" w:rsidRPr="00D15A18">
        <w:rPr>
          <w:rFonts w:cstheme="minorHAnsi"/>
          <w:i/>
          <w:lang w:val="sr-Latn-CS"/>
        </w:rPr>
        <w:t>om revizijom politike prema susedima</w:t>
      </w:r>
      <w:r w:rsidR="009D2BCC" w:rsidRPr="00D15A18">
        <w:rPr>
          <w:rFonts w:cstheme="minorHAnsi"/>
          <w:lang w:val="sr-Latn-CS"/>
        </w:rPr>
        <w:t>.</w:t>
      </w:r>
      <w:r w:rsidRPr="00D15A18">
        <w:rPr>
          <w:rFonts w:cstheme="minorHAnsi"/>
          <w:lang w:val="sr-Latn-CS"/>
        </w:rPr>
        <w:t>“</w:t>
      </w:r>
      <w:r w:rsidR="009D2BCC" w:rsidRPr="00D15A18">
        <w:rPr>
          <w:rFonts w:cstheme="minorHAnsi"/>
          <w:vertAlign w:val="superscript"/>
          <w:lang w:val="sr-Latn-CS"/>
        </w:rPr>
        <w:footnoteReference w:id="16"/>
      </w:r>
    </w:p>
    <w:p w:rsidR="00144FBC" w:rsidRPr="00D15A18" w:rsidRDefault="009D2BCC" w:rsidP="009D71D2">
      <w:pPr>
        <w:jc w:val="both"/>
        <w:rPr>
          <w:rFonts w:cstheme="minorHAnsi"/>
          <w:lang w:val="sr-Latn-CS"/>
        </w:rPr>
      </w:pPr>
      <w:r w:rsidRPr="00D15A18">
        <w:rPr>
          <w:rFonts w:cstheme="minorHAnsi"/>
          <w:lang w:val="sr-Latn-CS"/>
        </w:rPr>
        <w:t xml:space="preserve">Stoga, države </w:t>
      </w:r>
      <w:r w:rsidR="00BA4902" w:rsidRPr="00D15A18">
        <w:rPr>
          <w:rFonts w:cstheme="minorHAnsi"/>
          <w:lang w:val="sr-Latn-CS"/>
        </w:rPr>
        <w:t>koje su u čekaonici</w:t>
      </w:r>
      <w:r w:rsidRPr="00D15A18">
        <w:rPr>
          <w:rFonts w:cstheme="minorHAnsi"/>
          <w:lang w:val="sr-Latn-CS"/>
        </w:rPr>
        <w:t xml:space="preserve"> EU mogu da očekuju samo lepe diplomatske bajke o svojoj „sjajnoj evropskoj perspektivi“ u dalekoj budućnosti. Čak i</w:t>
      </w:r>
      <w:r w:rsidR="002C14BF" w:rsidRPr="00D15A18">
        <w:rPr>
          <w:rFonts w:cstheme="minorHAnsi"/>
          <w:lang w:val="sr-Latn-CS"/>
        </w:rPr>
        <w:t xml:space="preserve"> </w:t>
      </w:r>
      <w:r w:rsidRPr="00D15A18">
        <w:rPr>
          <w:rFonts w:cstheme="minorHAnsi"/>
          <w:lang w:val="sr-Latn-CS"/>
        </w:rPr>
        <w:t xml:space="preserve">ako EU opstane, </w:t>
      </w:r>
      <w:r w:rsidR="002C14BF" w:rsidRPr="00D15A18">
        <w:rPr>
          <w:rFonts w:cstheme="minorHAnsi"/>
          <w:lang w:val="sr-Latn-CS"/>
        </w:rPr>
        <w:t xml:space="preserve">problem će biti da </w:t>
      </w:r>
      <w:r w:rsidR="00402E7C" w:rsidRPr="00D15A18">
        <w:rPr>
          <w:rFonts w:cstheme="minorHAnsi"/>
          <w:lang w:val="sr-Latn-CS"/>
        </w:rPr>
        <w:t>EU</w:t>
      </w:r>
      <w:r w:rsidR="002C14BF" w:rsidRPr="00D15A18">
        <w:rPr>
          <w:rFonts w:cstheme="minorHAnsi"/>
          <w:lang w:val="sr-Latn-CS"/>
        </w:rPr>
        <w:t xml:space="preserve"> ostane i dalje privlačna </w:t>
      </w:r>
      <w:r w:rsidRPr="00D15A18">
        <w:rPr>
          <w:rFonts w:cstheme="minorHAnsi"/>
          <w:lang w:val="sr-Latn-CS"/>
        </w:rPr>
        <w:t xml:space="preserve">za postojeće članice </w:t>
      </w:r>
      <w:r w:rsidR="009D71D2" w:rsidRPr="00D15A18">
        <w:rPr>
          <w:rFonts w:cstheme="minorHAnsi"/>
          <w:lang w:val="sr-Latn-CS"/>
        </w:rPr>
        <w:t>ostanu u EU</w:t>
      </w:r>
      <w:r w:rsidR="002C14BF" w:rsidRPr="00D15A18">
        <w:rPr>
          <w:rFonts w:cstheme="minorHAnsi"/>
          <w:lang w:val="sr-Latn-CS"/>
        </w:rPr>
        <w:t xml:space="preserve"> članstvu EU</w:t>
      </w:r>
      <w:r w:rsidR="009D71D2" w:rsidRPr="00D15A18">
        <w:rPr>
          <w:rFonts w:cstheme="minorHAnsi"/>
          <w:lang w:val="sr-Latn-CS"/>
        </w:rPr>
        <w:t>.</w:t>
      </w:r>
    </w:p>
    <w:p w:rsidR="009D2BCC" w:rsidRPr="00D15A18" w:rsidRDefault="009D2BCC" w:rsidP="009D71D2">
      <w:pPr>
        <w:jc w:val="both"/>
        <w:rPr>
          <w:rFonts w:cstheme="minorHAnsi"/>
          <w:lang w:val="sr-Latn-CS"/>
        </w:rPr>
      </w:pPr>
      <w:r w:rsidRPr="00D15A18">
        <w:rPr>
          <w:rFonts w:cstheme="minorHAnsi"/>
          <w:lang w:val="sr-Latn-CS"/>
        </w:rPr>
        <w:t xml:space="preserve">Države koje su na </w:t>
      </w:r>
      <w:r w:rsidR="00402E7C" w:rsidRPr="00D15A18">
        <w:rPr>
          <w:rFonts w:cstheme="minorHAnsi"/>
          <w:lang w:val="sr-Latn-CS"/>
        </w:rPr>
        <w:t>spisku</w:t>
      </w:r>
      <w:r w:rsidR="005D7285" w:rsidRPr="00D15A18">
        <w:rPr>
          <w:rFonts w:cstheme="minorHAnsi"/>
          <w:lang w:val="sr-Latn-CS"/>
        </w:rPr>
        <w:t xml:space="preserve"> </w:t>
      </w:r>
      <w:r w:rsidRPr="00D15A18">
        <w:rPr>
          <w:rFonts w:cstheme="minorHAnsi"/>
          <w:lang w:val="sr-Latn-CS"/>
        </w:rPr>
        <w:t xml:space="preserve">čekanja za </w:t>
      </w:r>
      <w:r w:rsidR="005D7285" w:rsidRPr="00D15A18">
        <w:rPr>
          <w:rFonts w:cstheme="minorHAnsi"/>
          <w:lang w:val="sr-Latn-CS"/>
        </w:rPr>
        <w:t>pristupanje</w:t>
      </w:r>
      <w:r w:rsidRPr="00D15A18">
        <w:rPr>
          <w:rFonts w:cstheme="minorHAnsi"/>
          <w:lang w:val="sr-Latn-CS"/>
        </w:rPr>
        <w:t xml:space="preserve"> EU spadaju u grupu zemalja koje imaju niz ozbiljnih problema i kojima su potrebni izuzetni napori i puno vremena kako bi dovele svoju ekonomiju </w:t>
      </w:r>
      <w:r w:rsidR="005D7285" w:rsidRPr="00D15A18">
        <w:rPr>
          <w:rFonts w:cstheme="minorHAnsi"/>
          <w:lang w:val="sr-Latn-CS"/>
        </w:rPr>
        <w:t xml:space="preserve">i državu </w:t>
      </w:r>
      <w:r w:rsidRPr="00D15A18">
        <w:rPr>
          <w:rFonts w:cstheme="minorHAnsi"/>
          <w:lang w:val="sr-Latn-CS"/>
        </w:rPr>
        <w:t xml:space="preserve">u red. Korupcija je </w:t>
      </w:r>
      <w:r w:rsidR="00AF2325" w:rsidRPr="00D15A18">
        <w:rPr>
          <w:rFonts w:cstheme="minorHAnsi"/>
          <w:lang w:val="sr-Latn-CS"/>
        </w:rPr>
        <w:t xml:space="preserve">ustaljena, sprovođenje zakona slabo, okolina je zagađena, pogranični sporovi narušavaju odnose, … Ove države pre će biti potrošači nego što će biti donosioci </w:t>
      </w:r>
      <w:r w:rsidR="009D71D2" w:rsidRPr="00D15A18">
        <w:rPr>
          <w:rFonts w:cstheme="minorHAnsi"/>
          <w:lang w:val="sr-Latn-CS"/>
        </w:rPr>
        <w:t xml:space="preserve">novca u </w:t>
      </w:r>
      <w:r w:rsidR="00AF2325" w:rsidRPr="00D15A18">
        <w:rPr>
          <w:rFonts w:cstheme="minorHAnsi"/>
          <w:lang w:val="sr-Latn-CS"/>
        </w:rPr>
        <w:t>EU fondov</w:t>
      </w:r>
      <w:r w:rsidR="009D71D2" w:rsidRPr="00D15A18">
        <w:rPr>
          <w:rFonts w:cstheme="minorHAnsi"/>
          <w:lang w:val="sr-Latn-CS"/>
        </w:rPr>
        <w:t>e</w:t>
      </w:r>
      <w:r w:rsidR="00AF2325" w:rsidRPr="00D15A18">
        <w:rPr>
          <w:rFonts w:cstheme="minorHAnsi"/>
          <w:lang w:val="sr-Latn-CS"/>
        </w:rPr>
        <w:t>.</w:t>
      </w:r>
    </w:p>
    <w:p w:rsidR="00AF2325" w:rsidRPr="00D15A18" w:rsidRDefault="00AF2325" w:rsidP="00406AB8">
      <w:pPr>
        <w:jc w:val="both"/>
        <w:rPr>
          <w:rFonts w:cstheme="minorHAnsi"/>
          <w:lang w:val="sr-Latn-CS"/>
        </w:rPr>
      </w:pPr>
      <w:r w:rsidRPr="00D15A18">
        <w:rPr>
          <w:rFonts w:cstheme="minorHAnsi"/>
          <w:lang w:val="sr-Latn-CS"/>
        </w:rPr>
        <w:t xml:space="preserve">EU ponavlja da države na </w:t>
      </w:r>
      <w:r w:rsidR="00E54D1C" w:rsidRPr="00D15A18">
        <w:rPr>
          <w:rFonts w:cstheme="minorHAnsi"/>
          <w:lang w:val="sr-Latn-CS"/>
        </w:rPr>
        <w:t xml:space="preserve">spisku </w:t>
      </w:r>
      <w:r w:rsidRPr="00D15A18">
        <w:rPr>
          <w:rFonts w:cstheme="minorHAnsi"/>
          <w:lang w:val="sr-Latn-CS"/>
        </w:rPr>
        <w:t>čekanja za ulazak ima</w:t>
      </w:r>
      <w:r w:rsidR="00406AB8" w:rsidRPr="00D15A18">
        <w:rPr>
          <w:rFonts w:cstheme="minorHAnsi"/>
          <w:lang w:val="sr-Latn-CS"/>
        </w:rPr>
        <w:t>ju jaku i blistavu</w:t>
      </w:r>
      <w:r w:rsidRPr="00D15A18">
        <w:rPr>
          <w:rFonts w:cstheme="minorHAnsi"/>
          <w:lang w:val="sr-Latn-CS"/>
        </w:rPr>
        <w:t xml:space="preserve"> „evropsku perspektivu“. Ova izjava se toliko često ponavljala već više od </w:t>
      </w:r>
      <w:r w:rsidR="00E54D1C" w:rsidRPr="00D15A18">
        <w:rPr>
          <w:rFonts w:cstheme="minorHAnsi"/>
          <w:lang w:val="sr-Latn-CS"/>
        </w:rPr>
        <w:t>jedne decenije</w:t>
      </w:r>
      <w:r w:rsidRPr="00D15A18">
        <w:rPr>
          <w:rFonts w:cstheme="minorHAnsi"/>
          <w:lang w:val="sr-Latn-CS"/>
        </w:rPr>
        <w:t xml:space="preserve"> da teško da bilo koja od država na čekanju ozbiljno veruje u ovo labavo diplomatsko</w:t>
      </w:r>
      <w:r w:rsidR="003A0B12" w:rsidRPr="00D15A18">
        <w:rPr>
          <w:rFonts w:cstheme="minorHAnsi"/>
          <w:lang w:val="sr-Latn-CS"/>
        </w:rPr>
        <w:t xml:space="preserve"> obećanje. Svima je jasno da EU ima snažan </w:t>
      </w:r>
      <w:r w:rsidRPr="00D15A18">
        <w:rPr>
          <w:rFonts w:cstheme="minorHAnsi"/>
          <w:lang w:val="sr-Latn-CS"/>
        </w:rPr>
        <w:t xml:space="preserve">instrument </w:t>
      </w:r>
      <w:r w:rsidR="003A0B12" w:rsidRPr="00D15A18">
        <w:rPr>
          <w:rFonts w:cstheme="minorHAnsi"/>
          <w:lang w:val="sr-Latn-CS"/>
        </w:rPr>
        <w:t xml:space="preserve">da obeshrabri zemlje da joj pristupe. To je </w:t>
      </w:r>
      <w:r w:rsidR="00E54D1C" w:rsidRPr="00D15A18">
        <w:rPr>
          <w:rFonts w:cstheme="minorHAnsi"/>
          <w:lang w:val="sr-Latn-CS"/>
        </w:rPr>
        <w:t xml:space="preserve">puni </w:t>
      </w:r>
      <w:r w:rsidR="003A0B12" w:rsidRPr="00D15A18">
        <w:rPr>
          <w:rFonts w:cstheme="minorHAnsi"/>
          <w:lang w:val="sr-Latn-CS"/>
        </w:rPr>
        <w:t xml:space="preserve">i detaljni </w:t>
      </w:r>
      <w:r w:rsidR="00F32F2F" w:rsidRPr="00D15A18">
        <w:rPr>
          <w:rFonts w:cstheme="minorHAnsi"/>
          <w:lang w:val="sr-Latn-CS"/>
        </w:rPr>
        <w:t xml:space="preserve">spisak zahteva </w:t>
      </w:r>
      <w:r w:rsidR="00406AB8" w:rsidRPr="00D15A18">
        <w:rPr>
          <w:rFonts w:cstheme="minorHAnsi"/>
          <w:lang w:val="sr-Latn-CS"/>
        </w:rPr>
        <w:t>za reformama</w:t>
      </w:r>
      <w:r w:rsidR="00E54D1C" w:rsidRPr="00D15A18">
        <w:rPr>
          <w:rFonts w:cstheme="minorHAnsi"/>
          <w:lang w:val="sr-Latn-CS"/>
        </w:rPr>
        <w:t>. Takav jasan spisak namerno ne postoji jer bi zauvek mogao da obeshrabri države u čekaonici EU</w:t>
      </w:r>
      <w:r w:rsidR="00F32F2F" w:rsidRPr="00D15A18">
        <w:rPr>
          <w:rFonts w:cstheme="minorHAnsi"/>
          <w:lang w:val="sr-Latn-CS"/>
        </w:rPr>
        <w:t>. Crta za ulazak u EU se stalno jednostrano pomera naviše od strane EU</w:t>
      </w:r>
      <w:r w:rsidR="00D03E63" w:rsidRPr="00D15A18">
        <w:rPr>
          <w:rFonts w:cstheme="minorHAnsi"/>
          <w:lang w:val="sr-Latn-CS"/>
        </w:rPr>
        <w:t xml:space="preserve">. Ako EU ikada dozvoli bilo kojoj od država na čekanju da se pridruži, to će biti isključivo politička odluka. Sa ekonomske tačke gledišta, države </w:t>
      </w:r>
      <w:r w:rsidR="00697778" w:rsidRPr="00D15A18">
        <w:rPr>
          <w:rFonts w:cstheme="minorHAnsi"/>
          <w:lang w:val="sr-Latn-CS"/>
        </w:rPr>
        <w:t xml:space="preserve">u </w:t>
      </w:r>
      <w:r w:rsidR="00697778" w:rsidRPr="00D15A18">
        <w:rPr>
          <w:rFonts w:cstheme="minorHAnsi"/>
          <w:lang w:val="sr-Latn-CS"/>
        </w:rPr>
        <w:lastRenderedPageBreak/>
        <w:t>čekaonici</w:t>
      </w:r>
      <w:r w:rsidR="00D03E63" w:rsidRPr="00D15A18">
        <w:rPr>
          <w:rFonts w:cstheme="minorHAnsi"/>
          <w:lang w:val="sr-Latn-CS"/>
        </w:rPr>
        <w:t xml:space="preserve"> imaju m</w:t>
      </w:r>
      <w:r w:rsidR="00697778" w:rsidRPr="00D15A18">
        <w:rPr>
          <w:rFonts w:cstheme="minorHAnsi"/>
          <w:lang w:val="sr-Latn-CS"/>
        </w:rPr>
        <w:t xml:space="preserve">ali </w:t>
      </w:r>
      <w:r w:rsidR="00D03E63" w:rsidRPr="00D15A18">
        <w:rPr>
          <w:rFonts w:cstheme="minorHAnsi"/>
          <w:lang w:val="sr-Latn-CS"/>
        </w:rPr>
        <w:t>značaj za EU.</w:t>
      </w:r>
      <w:r w:rsidR="000147C6" w:rsidRPr="00D15A18">
        <w:rPr>
          <w:rFonts w:cstheme="minorHAnsi"/>
          <w:lang w:val="sr-Latn-CS"/>
        </w:rPr>
        <w:t xml:space="preserve"> Na primer, ekonomski potencijal </w:t>
      </w:r>
      <w:r w:rsidR="00697778" w:rsidRPr="00D15A18">
        <w:rPr>
          <w:rFonts w:cstheme="minorHAnsi"/>
          <w:lang w:val="sr-Latn-CS"/>
        </w:rPr>
        <w:t xml:space="preserve">(BNP) </w:t>
      </w:r>
      <w:r w:rsidR="000147C6" w:rsidRPr="00D15A18">
        <w:rPr>
          <w:rFonts w:cstheme="minorHAnsi"/>
          <w:lang w:val="sr-Latn-CS"/>
        </w:rPr>
        <w:t xml:space="preserve">Srbije je približno jednak potencijalu nekog grada srednje veličine u EU, kao što je Amsterdam. </w:t>
      </w:r>
    </w:p>
    <w:p w:rsidR="000147C6" w:rsidRPr="00D15A18" w:rsidRDefault="000147C6" w:rsidP="00406AB8">
      <w:pPr>
        <w:jc w:val="both"/>
        <w:rPr>
          <w:rFonts w:cstheme="minorHAnsi"/>
          <w:lang w:val="sr-Latn-CS"/>
        </w:rPr>
      </w:pPr>
      <w:r w:rsidRPr="00D15A18">
        <w:rPr>
          <w:rFonts w:cstheme="minorHAnsi"/>
          <w:lang w:val="sr-Latn-CS"/>
        </w:rPr>
        <w:t>Beli papir o budućnosti Evrope – prognoze i scenarija za EU27 do 2025 (</w:t>
      </w:r>
      <w:r w:rsidRPr="00D15A18">
        <w:rPr>
          <w:rFonts w:cstheme="minorHAnsi"/>
          <w:i/>
          <w:lang w:val="sr-Latn-CS"/>
        </w:rPr>
        <w:t>The White Paper on the Future of Europe – Reflections and Scenarios for the EU27 by 2025</w:t>
      </w:r>
      <w:r w:rsidRPr="00D15A18">
        <w:rPr>
          <w:rFonts w:cstheme="minorHAnsi"/>
          <w:vertAlign w:val="superscript"/>
          <w:lang w:val="sr-Latn-CS"/>
        </w:rPr>
        <w:footnoteReference w:id="17"/>
      </w:r>
      <w:r w:rsidRPr="00D15A18">
        <w:rPr>
          <w:rFonts w:cstheme="minorHAnsi"/>
          <w:lang w:val="sr-Latn-CS"/>
        </w:rPr>
        <w:t xml:space="preserve">) je predstavljen </w:t>
      </w:r>
      <w:r w:rsidR="00697778" w:rsidRPr="00D15A18">
        <w:rPr>
          <w:rFonts w:cstheme="minorHAnsi"/>
          <w:lang w:val="sr-Latn-CS"/>
        </w:rPr>
        <w:t>0</w:t>
      </w:r>
      <w:r w:rsidRPr="00D15A18">
        <w:rPr>
          <w:rFonts w:cstheme="minorHAnsi"/>
          <w:lang w:val="sr-Latn-CS"/>
        </w:rPr>
        <w:t>1.</w:t>
      </w:r>
      <w:r w:rsidR="00697778" w:rsidRPr="00D15A18">
        <w:rPr>
          <w:rFonts w:cstheme="minorHAnsi"/>
          <w:lang w:val="sr-Latn-CS"/>
        </w:rPr>
        <w:t>03.</w:t>
      </w:r>
      <w:r w:rsidRPr="00D15A18">
        <w:rPr>
          <w:rFonts w:cstheme="minorHAnsi"/>
          <w:lang w:val="sr-Latn-CS"/>
        </w:rPr>
        <w:t xml:space="preserve">2017. godine. Ovaj dokument je zvanična politička platforma za </w:t>
      </w:r>
      <w:r w:rsidR="00516970" w:rsidRPr="00D15A18">
        <w:rPr>
          <w:rFonts w:cstheme="minorHAnsi"/>
          <w:lang w:val="sr-Latn-CS"/>
        </w:rPr>
        <w:t>mogući</w:t>
      </w:r>
      <w:r w:rsidRPr="00D15A18">
        <w:rPr>
          <w:rFonts w:cstheme="minorHAnsi"/>
          <w:lang w:val="sr-Latn-CS"/>
        </w:rPr>
        <w:t xml:space="preserve"> razvoj EU u budućnosti. </w:t>
      </w:r>
      <w:r w:rsidR="00516970" w:rsidRPr="00D15A18">
        <w:rPr>
          <w:rFonts w:cstheme="minorHAnsi"/>
          <w:lang w:val="sr-Latn-CS"/>
        </w:rPr>
        <w:t>Reč</w:t>
      </w:r>
      <w:r w:rsidR="00516970" w:rsidRPr="00D15A18">
        <w:rPr>
          <w:rFonts w:cstheme="minorHAnsi"/>
          <w:i/>
          <w:lang w:val="sr-Latn-CS"/>
        </w:rPr>
        <w:t xml:space="preserve"> p</w:t>
      </w:r>
      <w:r w:rsidRPr="00D15A18">
        <w:rPr>
          <w:rFonts w:cstheme="minorHAnsi"/>
          <w:i/>
          <w:lang w:val="sr-Latn-CS"/>
        </w:rPr>
        <w:t>roširivanje</w:t>
      </w:r>
      <w:r w:rsidRPr="00D15A18">
        <w:rPr>
          <w:rFonts w:cstheme="minorHAnsi"/>
          <w:lang w:val="sr-Latn-CS"/>
        </w:rPr>
        <w:t xml:space="preserve"> u njemu nije </w:t>
      </w:r>
      <w:r w:rsidR="00516970" w:rsidRPr="00D15A18">
        <w:rPr>
          <w:rFonts w:cstheme="minorHAnsi"/>
          <w:lang w:val="sr-Latn-CS"/>
        </w:rPr>
        <w:t>uopšte s</w:t>
      </w:r>
      <w:r w:rsidRPr="00D15A18">
        <w:rPr>
          <w:rFonts w:cstheme="minorHAnsi"/>
          <w:lang w:val="sr-Latn-CS"/>
        </w:rPr>
        <w:t>pomenut</w:t>
      </w:r>
      <w:r w:rsidR="00516970" w:rsidRPr="00D15A18">
        <w:rPr>
          <w:rFonts w:cstheme="minorHAnsi"/>
          <w:lang w:val="sr-Latn-CS"/>
        </w:rPr>
        <w:t>a</w:t>
      </w:r>
      <w:r w:rsidR="00F01CC4">
        <w:rPr>
          <w:rFonts w:cstheme="minorHAnsi"/>
          <w:lang w:val="sr-Latn-CS"/>
        </w:rPr>
        <w:t>.</w:t>
      </w:r>
      <w:r w:rsidRPr="00D15A18">
        <w:rPr>
          <w:rFonts w:cstheme="minorHAnsi"/>
          <w:lang w:val="sr-Latn-CS"/>
        </w:rPr>
        <w:t xml:space="preserve"> Stoga, sve slatke reči koje </w:t>
      </w:r>
      <w:r w:rsidR="0032467C">
        <w:rPr>
          <w:rFonts w:cstheme="minorHAnsi"/>
          <w:lang w:val="sr-Latn-CS"/>
        </w:rPr>
        <w:t xml:space="preserve">prolazni </w:t>
      </w:r>
      <w:r w:rsidR="00456D01" w:rsidRPr="00D15A18">
        <w:rPr>
          <w:rFonts w:cstheme="minorHAnsi"/>
          <w:lang w:val="sr-Latn-CS"/>
        </w:rPr>
        <w:t>političari upućuju</w:t>
      </w:r>
      <w:r w:rsidRPr="00D15A18">
        <w:rPr>
          <w:rFonts w:cstheme="minorHAnsi"/>
          <w:lang w:val="sr-Latn-CS"/>
        </w:rPr>
        <w:t xml:space="preserve"> država</w:t>
      </w:r>
      <w:r w:rsidR="00456D01" w:rsidRPr="00D15A18">
        <w:rPr>
          <w:rFonts w:cstheme="minorHAnsi"/>
          <w:lang w:val="sr-Latn-CS"/>
        </w:rPr>
        <w:t>ma</w:t>
      </w:r>
      <w:r w:rsidRPr="00D15A18">
        <w:rPr>
          <w:rFonts w:cstheme="minorHAnsi"/>
          <w:lang w:val="sr-Latn-CS"/>
        </w:rPr>
        <w:t xml:space="preserve"> </w:t>
      </w:r>
      <w:r w:rsidR="00A5421F" w:rsidRPr="00D15A18">
        <w:rPr>
          <w:rFonts w:cstheme="minorHAnsi"/>
          <w:lang w:val="sr-Latn-CS"/>
        </w:rPr>
        <w:t>u čekaonici EU</w:t>
      </w:r>
      <w:r w:rsidRPr="00D15A18">
        <w:rPr>
          <w:rFonts w:cstheme="minorHAnsi"/>
          <w:lang w:val="sr-Latn-CS"/>
        </w:rPr>
        <w:t xml:space="preserve"> </w:t>
      </w:r>
      <w:r w:rsidR="00456D01" w:rsidRPr="00D15A18">
        <w:rPr>
          <w:rFonts w:cstheme="minorHAnsi"/>
          <w:lang w:val="sr-Latn-CS"/>
        </w:rPr>
        <w:t xml:space="preserve">treba uzeti sa </w:t>
      </w:r>
      <w:r w:rsidR="00A5421F" w:rsidRPr="00D15A18">
        <w:rPr>
          <w:rFonts w:cstheme="minorHAnsi"/>
          <w:lang w:val="sr-Latn-CS"/>
        </w:rPr>
        <w:t xml:space="preserve">velikom </w:t>
      </w:r>
      <w:r w:rsidR="00456D01" w:rsidRPr="00D15A18">
        <w:rPr>
          <w:rFonts w:cstheme="minorHAnsi"/>
          <w:lang w:val="sr-Latn-CS"/>
        </w:rPr>
        <w:t>rezervom</w:t>
      </w:r>
      <w:r w:rsidR="00A5421F" w:rsidRPr="00D15A18">
        <w:rPr>
          <w:rFonts w:cstheme="minorHAnsi"/>
          <w:lang w:val="sr-Latn-CS"/>
        </w:rPr>
        <w:t xml:space="preserve"> i nevericom</w:t>
      </w:r>
      <w:r w:rsidR="00456D01" w:rsidRPr="00D15A18">
        <w:rPr>
          <w:rFonts w:cstheme="minorHAnsi"/>
          <w:lang w:val="sr-Latn-CS"/>
        </w:rPr>
        <w:t>. Šta god EU političari i diplomate govorili državama na čekanju, to ima strogo vremensko ograničenje</w:t>
      </w:r>
      <w:r w:rsidR="005C5668" w:rsidRPr="00D15A18">
        <w:rPr>
          <w:rFonts w:cstheme="minorHAnsi"/>
          <w:lang w:val="sr-Latn-CS"/>
        </w:rPr>
        <w:t>,</w:t>
      </w:r>
      <w:r w:rsidR="00456D01" w:rsidRPr="00D15A18">
        <w:rPr>
          <w:rFonts w:cstheme="minorHAnsi"/>
          <w:lang w:val="sr-Latn-CS"/>
        </w:rPr>
        <w:t xml:space="preserve"> a to je njihov mandat u organima EU </w:t>
      </w:r>
      <w:r w:rsidR="00FC1C3C">
        <w:rPr>
          <w:rFonts w:cstheme="minorHAnsi"/>
          <w:lang w:val="sr-Latn-CS"/>
        </w:rPr>
        <w:t xml:space="preserve">ili u zemljama članicama EU </w:t>
      </w:r>
      <w:r w:rsidR="00456D01" w:rsidRPr="00D15A18">
        <w:rPr>
          <w:rFonts w:cstheme="minorHAnsi"/>
          <w:lang w:val="sr-Latn-CS"/>
        </w:rPr>
        <w:t>(što je približno četiri godine). Oni mogu</w:t>
      </w:r>
      <w:r w:rsidR="00FC1C3C">
        <w:rPr>
          <w:rFonts w:cstheme="minorHAnsi"/>
          <w:lang w:val="sr-Latn-CS"/>
        </w:rPr>
        <w:t xml:space="preserve"> lako</w:t>
      </w:r>
      <w:r w:rsidR="00456D01" w:rsidRPr="00D15A18">
        <w:rPr>
          <w:rFonts w:cstheme="minorHAnsi"/>
          <w:lang w:val="sr-Latn-CS"/>
        </w:rPr>
        <w:t xml:space="preserve"> obećati jednu stvar i dobiti ozbiljnu podršku</w:t>
      </w:r>
      <w:r w:rsidR="00FC1C3C">
        <w:rPr>
          <w:rFonts w:cstheme="minorHAnsi"/>
          <w:lang w:val="sr-Latn-CS"/>
        </w:rPr>
        <w:t xml:space="preserve"> zemalja iz čekaonice</w:t>
      </w:r>
      <w:r w:rsidR="00456D01" w:rsidRPr="00D15A18">
        <w:rPr>
          <w:rFonts w:cstheme="minorHAnsi"/>
          <w:lang w:val="sr-Latn-CS"/>
        </w:rPr>
        <w:t xml:space="preserve">, dok će sledeća postavka EU političara možda imati potpuno drugačiji pogled i neće biti obavezana prethodnim nizom verbalnih (i drugih) obećanja. </w:t>
      </w:r>
    </w:p>
    <w:p w:rsidR="00456D01" w:rsidRPr="00D15A18" w:rsidRDefault="00456D01" w:rsidP="00406AB8">
      <w:pPr>
        <w:jc w:val="both"/>
        <w:rPr>
          <w:rFonts w:cstheme="minorHAnsi"/>
          <w:lang w:val="sr-Latn-CS"/>
        </w:rPr>
      </w:pPr>
      <w:r w:rsidRPr="00D15A18">
        <w:rPr>
          <w:rFonts w:cstheme="minorHAnsi"/>
          <w:lang w:val="sr-Latn-CS"/>
        </w:rPr>
        <w:t>Emanuel Makron, predsednik Francuske, je bio nezadovoljan krhkom Evropom i rekao je da „</w:t>
      </w:r>
      <w:r w:rsidR="00242D08" w:rsidRPr="00D15A18">
        <w:rPr>
          <w:rFonts w:cstheme="minorHAnsi"/>
          <w:lang w:val="sr-Latn-CS"/>
        </w:rPr>
        <w:t>Evropa kakvu znamo je suviše slaba, suviše spora, suviše neefikasna, ali</w:t>
      </w:r>
      <w:r w:rsidR="00406AB8" w:rsidRPr="00D15A18">
        <w:rPr>
          <w:rFonts w:cstheme="minorHAnsi"/>
          <w:lang w:val="sr-Latn-CS"/>
        </w:rPr>
        <w:t xml:space="preserve"> samo nam Evropa daje mogućnost</w:t>
      </w:r>
      <w:r w:rsidR="00242D08" w:rsidRPr="00D15A18">
        <w:rPr>
          <w:rFonts w:cstheme="minorHAnsi"/>
          <w:lang w:val="sr-Latn-CS"/>
        </w:rPr>
        <w:t xml:space="preserve"> da igramo na svetskoj sceni u vremenu velikih, savremenih izazova.</w:t>
      </w:r>
      <w:r w:rsidRPr="00D15A18">
        <w:rPr>
          <w:rFonts w:cstheme="minorHAnsi"/>
          <w:lang w:val="sr-Latn-CS"/>
        </w:rPr>
        <w:t>“</w:t>
      </w:r>
      <w:r w:rsidR="00242D08" w:rsidRPr="00D15A18">
        <w:rPr>
          <w:rFonts w:cstheme="minorHAnsi"/>
          <w:vertAlign w:val="superscript"/>
          <w:lang w:val="sr-Latn-CS"/>
        </w:rPr>
        <w:footnoteReference w:id="18"/>
      </w:r>
      <w:r w:rsidR="00242D08" w:rsidRPr="00D15A18">
        <w:rPr>
          <w:rFonts w:cstheme="minorHAnsi"/>
          <w:lang w:val="sr-Latn-CS"/>
        </w:rPr>
        <w:t xml:space="preserve"> Osim toga, on ima i ambiciozan plan za EU koji uključuje formiranje zajedničkog budžeta za odbranu; zajedničku silu za vojne intervencije; ministra finansija za evro-zonu; zajednički budžet za evro-zonu; i druge federalne institucije. Glavni partner, Nemačka, uglavnom okleva i ima sumnje u vezi ovih federalnih koraka, pošto bi to u krajnjoj instanci značilo da će </w:t>
      </w:r>
      <w:r w:rsidR="00D32001" w:rsidRPr="00D15A18">
        <w:rPr>
          <w:rFonts w:cstheme="minorHAnsi"/>
          <w:lang w:val="sr-Latn-CS"/>
        </w:rPr>
        <w:t>verovatno</w:t>
      </w:r>
      <w:r w:rsidR="00242D08" w:rsidRPr="00D15A18">
        <w:rPr>
          <w:rFonts w:cstheme="minorHAnsi"/>
          <w:lang w:val="sr-Latn-CS"/>
        </w:rPr>
        <w:t xml:space="preserve"> nemački </w:t>
      </w:r>
      <w:r w:rsidR="001407F5" w:rsidRPr="00D15A18">
        <w:rPr>
          <w:rFonts w:cstheme="minorHAnsi"/>
          <w:lang w:val="sr-Latn-CS"/>
        </w:rPr>
        <w:t xml:space="preserve">poreski </w:t>
      </w:r>
      <w:r w:rsidR="00242D08" w:rsidRPr="00D15A18">
        <w:rPr>
          <w:rFonts w:cstheme="minorHAnsi"/>
          <w:lang w:val="sr-Latn-CS"/>
        </w:rPr>
        <w:t xml:space="preserve">obveznici snositi troškove ovakvog razvoja. </w:t>
      </w:r>
      <w:r w:rsidR="00D32001" w:rsidRPr="00D15A18">
        <w:rPr>
          <w:rFonts w:cstheme="minorHAnsi"/>
          <w:lang w:val="sr-Latn-CS"/>
        </w:rPr>
        <w:t>Budućnost EU će se veoma razlikova</w:t>
      </w:r>
      <w:r w:rsidR="00406AB8" w:rsidRPr="00D15A18">
        <w:rPr>
          <w:rFonts w:cstheme="minorHAnsi"/>
          <w:lang w:val="sr-Latn-CS"/>
        </w:rPr>
        <w:t>ti od njene dinamične prošlosti</w:t>
      </w:r>
      <w:r w:rsidR="00D32001" w:rsidRPr="00D15A18">
        <w:rPr>
          <w:rFonts w:cstheme="minorHAnsi"/>
          <w:lang w:val="sr-Latn-CS"/>
        </w:rPr>
        <w:t>, dok će priključivanje novih kandidata biti sve teže i teže.</w:t>
      </w:r>
    </w:p>
    <w:p w:rsidR="001407F5" w:rsidRPr="00D15A18" w:rsidRDefault="001407F5" w:rsidP="00406AB8">
      <w:pPr>
        <w:jc w:val="both"/>
        <w:rPr>
          <w:rFonts w:cstheme="minorHAnsi"/>
          <w:lang w:val="sr-Latn-CS"/>
        </w:rPr>
      </w:pPr>
    </w:p>
    <w:p w:rsidR="00D32001" w:rsidRPr="00D15A18" w:rsidRDefault="00D32001" w:rsidP="009D2BCC">
      <w:pPr>
        <w:rPr>
          <w:rFonts w:cstheme="minorHAnsi"/>
          <w:b/>
          <w:lang w:val="sr-Latn-CS"/>
        </w:rPr>
      </w:pPr>
      <w:r w:rsidRPr="00D15A18">
        <w:rPr>
          <w:rFonts w:cstheme="minorHAnsi"/>
          <w:b/>
          <w:lang w:val="sr-Latn-CS"/>
        </w:rPr>
        <w:t>5. Zaključak</w:t>
      </w:r>
    </w:p>
    <w:p w:rsidR="00D32001" w:rsidRPr="00D15A18" w:rsidRDefault="00BB3FC5" w:rsidP="00406AB8">
      <w:pPr>
        <w:jc w:val="both"/>
        <w:rPr>
          <w:rFonts w:cstheme="minorHAnsi"/>
          <w:lang w:val="sr-Latn-CS"/>
        </w:rPr>
      </w:pPr>
      <w:r w:rsidRPr="00D15A18">
        <w:rPr>
          <w:rFonts w:cstheme="minorHAnsi"/>
          <w:lang w:val="sr-Latn-CS"/>
        </w:rPr>
        <w:t>Nakon</w:t>
      </w:r>
      <w:r w:rsidR="00773C18" w:rsidRPr="00D15A18">
        <w:rPr>
          <w:rFonts w:cstheme="minorHAnsi"/>
          <w:lang w:val="sr-Latn-CS"/>
        </w:rPr>
        <w:t xml:space="preserve"> decenij</w:t>
      </w:r>
      <w:r w:rsidRPr="00D15A18">
        <w:rPr>
          <w:rFonts w:cstheme="minorHAnsi"/>
          <w:lang w:val="sr-Latn-CS"/>
        </w:rPr>
        <w:t>a</w:t>
      </w:r>
      <w:r w:rsidR="00773C18" w:rsidRPr="00D15A18">
        <w:rPr>
          <w:rFonts w:cstheme="minorHAnsi"/>
          <w:lang w:val="sr-Latn-CS"/>
        </w:rPr>
        <w:t xml:space="preserve"> centralnog planiranja </w:t>
      </w:r>
      <w:r w:rsidRPr="00D15A18">
        <w:rPr>
          <w:rFonts w:cstheme="minorHAnsi"/>
          <w:lang w:val="sr-Latn-CS"/>
        </w:rPr>
        <w:t xml:space="preserve">države </w:t>
      </w:r>
      <w:r w:rsidR="00406AB8" w:rsidRPr="00D15A18">
        <w:rPr>
          <w:rFonts w:cstheme="minorHAnsi"/>
          <w:lang w:val="sr-Latn-CS"/>
        </w:rPr>
        <w:t>c</w:t>
      </w:r>
      <w:r w:rsidRPr="00D15A18">
        <w:rPr>
          <w:rFonts w:cstheme="minorHAnsi"/>
          <w:lang w:val="sr-Latn-CS"/>
        </w:rPr>
        <w:t xml:space="preserve">entralne i </w:t>
      </w:r>
      <w:r w:rsidR="00406AB8" w:rsidRPr="00D15A18">
        <w:rPr>
          <w:rFonts w:cstheme="minorHAnsi"/>
          <w:lang w:val="sr-Latn-CS"/>
        </w:rPr>
        <w:t>i</w:t>
      </w:r>
      <w:r w:rsidRPr="00D15A18">
        <w:rPr>
          <w:rFonts w:cstheme="minorHAnsi"/>
          <w:lang w:val="sr-Latn-CS"/>
        </w:rPr>
        <w:t xml:space="preserve">stočne Evrope </w:t>
      </w:r>
      <w:r w:rsidR="00CE61E2" w:rsidRPr="00D15A18">
        <w:rPr>
          <w:rFonts w:cstheme="minorHAnsi"/>
          <w:lang w:val="sr-Latn-CS"/>
        </w:rPr>
        <w:t xml:space="preserve">očekivale su </w:t>
      </w:r>
      <w:r w:rsidRPr="00D15A18">
        <w:rPr>
          <w:rFonts w:cstheme="minorHAnsi"/>
          <w:lang w:val="sr-Latn-CS"/>
        </w:rPr>
        <w:t xml:space="preserve">od </w:t>
      </w:r>
      <w:r w:rsidR="00CE61E2" w:rsidRPr="00D15A18">
        <w:rPr>
          <w:rFonts w:cstheme="minorHAnsi"/>
          <w:lang w:val="sr-Latn-CS"/>
        </w:rPr>
        <w:t xml:space="preserve">pristupanja </w:t>
      </w:r>
      <w:r w:rsidRPr="00D15A18">
        <w:rPr>
          <w:rFonts w:cstheme="minorHAnsi"/>
          <w:lang w:val="sr-Latn-CS"/>
        </w:rPr>
        <w:t>EU ekonomsk</w:t>
      </w:r>
      <w:r w:rsidR="00CE61E2" w:rsidRPr="00D15A18">
        <w:rPr>
          <w:rFonts w:cstheme="minorHAnsi"/>
          <w:lang w:val="sr-Latn-CS"/>
        </w:rPr>
        <w:t>i med i mleko</w:t>
      </w:r>
      <w:r w:rsidRPr="00D15A18">
        <w:rPr>
          <w:rFonts w:cstheme="minorHAnsi"/>
          <w:lang w:val="sr-Latn-CS"/>
        </w:rPr>
        <w:t>. Članstvo u EU delovalo je kao magija i nada da će se stvari promeniti na bolje. I to brzo. Neka od tih očekivanja su ispunjena.</w:t>
      </w:r>
    </w:p>
    <w:p w:rsidR="00BB3FC5" w:rsidRPr="00D15A18" w:rsidRDefault="00BB3FC5" w:rsidP="00406AB8">
      <w:pPr>
        <w:jc w:val="both"/>
        <w:rPr>
          <w:rFonts w:cstheme="minorHAnsi"/>
          <w:lang w:val="sr-Latn-CS"/>
        </w:rPr>
      </w:pPr>
      <w:r w:rsidRPr="00D15A18">
        <w:rPr>
          <w:rFonts w:cstheme="minorHAnsi"/>
          <w:lang w:val="sr-Latn-CS"/>
        </w:rPr>
        <w:t>Bilo</w:t>
      </w:r>
      <w:r w:rsidR="00406AB8" w:rsidRPr="00D15A18">
        <w:rPr>
          <w:rFonts w:cstheme="minorHAnsi"/>
          <w:lang w:val="sr-Latn-CS"/>
        </w:rPr>
        <w:t xml:space="preserve"> je mnogih pozitivnih kretanja u privredama centralne i i</w:t>
      </w:r>
      <w:r w:rsidRPr="00D15A18">
        <w:rPr>
          <w:rFonts w:cstheme="minorHAnsi"/>
          <w:lang w:val="sr-Latn-CS"/>
        </w:rPr>
        <w:t xml:space="preserve">stočne Evrope, kao što su poboljšanje životnog standarda, </w:t>
      </w:r>
      <w:r w:rsidR="00047B43" w:rsidRPr="00D15A18">
        <w:rPr>
          <w:rFonts w:cstheme="minorHAnsi"/>
          <w:lang w:val="sr-Latn-CS"/>
        </w:rPr>
        <w:t>preobražaj</w:t>
      </w:r>
      <w:r w:rsidRPr="00D15A18">
        <w:rPr>
          <w:rFonts w:cstheme="minorHAnsi"/>
          <w:lang w:val="sr-Latn-CS"/>
        </w:rPr>
        <w:t xml:space="preserve"> privrede i ubrzavanje stope rasta. Međutim, bilo je i značajnih ekonomskih troškova, kao što je ogromno povećanje državnog duga. </w:t>
      </w:r>
      <w:r w:rsidR="00047B43" w:rsidRPr="00D15A18">
        <w:rPr>
          <w:rFonts w:cstheme="minorHAnsi"/>
          <w:lang w:val="sr-Latn-CS"/>
        </w:rPr>
        <w:t>D</w:t>
      </w:r>
      <w:r w:rsidRPr="00D15A18">
        <w:rPr>
          <w:rFonts w:cstheme="minorHAnsi"/>
          <w:lang w:val="sr-Latn-CS"/>
        </w:rPr>
        <w:t xml:space="preserve">ržave </w:t>
      </w:r>
      <w:r w:rsidR="00047B43" w:rsidRPr="00D15A18">
        <w:rPr>
          <w:rFonts w:cstheme="minorHAnsi"/>
          <w:lang w:val="sr-Latn-CS"/>
        </w:rPr>
        <w:t xml:space="preserve">na istoku EU </w:t>
      </w:r>
      <w:r w:rsidRPr="00D15A18">
        <w:rPr>
          <w:rFonts w:cstheme="minorHAnsi"/>
          <w:lang w:val="sr-Latn-CS"/>
        </w:rPr>
        <w:t xml:space="preserve">nastavljaju da žive </w:t>
      </w:r>
      <w:r w:rsidR="00047B43" w:rsidRPr="00D15A18">
        <w:rPr>
          <w:rFonts w:cstheme="minorHAnsi"/>
          <w:lang w:val="sr-Latn-CS"/>
        </w:rPr>
        <w:t>uz pomoć</w:t>
      </w:r>
      <w:r w:rsidRPr="00D15A18">
        <w:rPr>
          <w:rFonts w:cstheme="minorHAnsi"/>
          <w:lang w:val="sr-Latn-CS"/>
        </w:rPr>
        <w:t xml:space="preserve"> „kreditn</w:t>
      </w:r>
      <w:r w:rsidR="00047B43" w:rsidRPr="00D15A18">
        <w:rPr>
          <w:rFonts w:cstheme="minorHAnsi"/>
          <w:lang w:val="sr-Latn-CS"/>
        </w:rPr>
        <w:t>e</w:t>
      </w:r>
      <w:r w:rsidRPr="00D15A18">
        <w:rPr>
          <w:rFonts w:cstheme="minorHAnsi"/>
          <w:lang w:val="sr-Latn-CS"/>
        </w:rPr>
        <w:t xml:space="preserve"> kartic</w:t>
      </w:r>
      <w:r w:rsidR="00047B43" w:rsidRPr="00D15A18">
        <w:rPr>
          <w:rFonts w:cstheme="minorHAnsi"/>
          <w:lang w:val="sr-Latn-CS"/>
        </w:rPr>
        <w:t>e</w:t>
      </w:r>
      <w:r w:rsidRPr="00D15A18">
        <w:rPr>
          <w:rFonts w:cstheme="minorHAnsi"/>
          <w:lang w:val="sr-Latn-CS"/>
        </w:rPr>
        <w:t xml:space="preserve">“ koju će buduće generacije morati da otplaćuju. Demografija je nepovoljna u novim članicama EU </w:t>
      </w:r>
      <w:r w:rsidR="0056016F" w:rsidRPr="00D15A18">
        <w:rPr>
          <w:rFonts w:cstheme="minorHAnsi"/>
          <w:lang w:val="sr-Latn-CS"/>
        </w:rPr>
        <w:t>s obzirom na to da je stopa nataliteta u padu (2.1 dete po ženi</w:t>
      </w:r>
      <w:r w:rsidR="00047B43" w:rsidRPr="00D15A18">
        <w:rPr>
          <w:rFonts w:cstheme="minorHAnsi"/>
          <w:lang w:val="sr-Latn-CS"/>
        </w:rPr>
        <w:t xml:space="preserve"> je potrebno samo za održavanje postojećeg broja stanovnika</w:t>
      </w:r>
      <w:r w:rsidR="0056016F" w:rsidRPr="00D15A18">
        <w:rPr>
          <w:rFonts w:cstheme="minorHAnsi"/>
          <w:lang w:val="sr-Latn-CS"/>
        </w:rPr>
        <w:t xml:space="preserve">), dok mladi emigriraju. Sve u svemu, situacija nije </w:t>
      </w:r>
      <w:r w:rsidR="00047B43" w:rsidRPr="00D15A18">
        <w:rPr>
          <w:rFonts w:cstheme="minorHAnsi"/>
          <w:lang w:val="sr-Latn-CS"/>
        </w:rPr>
        <w:t xml:space="preserve">potpuno </w:t>
      </w:r>
      <w:r w:rsidR="0056016F" w:rsidRPr="00D15A18">
        <w:rPr>
          <w:rFonts w:cstheme="minorHAnsi"/>
          <w:lang w:val="sr-Latn-CS"/>
        </w:rPr>
        <w:t>jasna. Stoga, teško je dati konačnu kvalitativnu ocenu ekono</w:t>
      </w:r>
      <w:r w:rsidR="00406AB8" w:rsidRPr="00D15A18">
        <w:rPr>
          <w:rFonts w:cstheme="minorHAnsi"/>
          <w:lang w:val="sr-Latn-CS"/>
        </w:rPr>
        <w:t>mskih efekata ulaska država iz centralne i i</w:t>
      </w:r>
      <w:r w:rsidR="0056016F" w:rsidRPr="00D15A18">
        <w:rPr>
          <w:rFonts w:cstheme="minorHAnsi"/>
          <w:lang w:val="sr-Latn-CS"/>
        </w:rPr>
        <w:t>stočne Evrope u EU. Pitanje koje je ostalo nerešeno je: Da li su potencijalne koristi od EU precenjene na istoku? Da li</w:t>
      </w:r>
      <w:r w:rsidR="00406AB8" w:rsidRPr="00D15A18">
        <w:rPr>
          <w:rFonts w:cstheme="minorHAnsi"/>
          <w:lang w:val="sr-Latn-CS"/>
        </w:rPr>
        <w:t xml:space="preserve"> su</w:t>
      </w:r>
      <w:r w:rsidR="0056016F" w:rsidRPr="00D15A18">
        <w:rPr>
          <w:rFonts w:cstheme="minorHAnsi"/>
          <w:lang w:val="sr-Latn-CS"/>
        </w:rPr>
        <w:t xml:space="preserve"> velika očekivanja </w:t>
      </w:r>
      <w:r w:rsidR="003A2233" w:rsidRPr="00D15A18">
        <w:rPr>
          <w:rFonts w:cstheme="minorHAnsi"/>
          <w:lang w:val="sr-Latn-CS"/>
        </w:rPr>
        <w:t>bila opravdana</w:t>
      </w:r>
      <w:r w:rsidR="0056016F" w:rsidRPr="00D15A18">
        <w:rPr>
          <w:rFonts w:cstheme="minorHAnsi"/>
          <w:lang w:val="sr-Latn-CS"/>
        </w:rPr>
        <w:t xml:space="preserve">? </w:t>
      </w:r>
    </w:p>
    <w:p w:rsidR="0056016F" w:rsidRPr="00D15A18" w:rsidRDefault="003A2233" w:rsidP="00406AB8">
      <w:pPr>
        <w:jc w:val="both"/>
        <w:rPr>
          <w:rFonts w:cstheme="minorHAnsi"/>
          <w:lang w:val="sr-Latn-CS"/>
        </w:rPr>
      </w:pPr>
      <w:r w:rsidRPr="00D15A18">
        <w:rPr>
          <w:rFonts w:cstheme="minorHAnsi"/>
          <w:lang w:val="sr-Latn-CS"/>
        </w:rPr>
        <w:t xml:space="preserve">Za vreme gvozdene zavese (1945-91), države na istoku su sanjale o Evropi bez granica i ograda od bodljikave žice. On što sada vide je povećanje takvih barijera čak i između starih zapadnih država EU koje pripadaju šengenskoj zoni slobodnog kretanja ljudi. Umesto da se </w:t>
      </w:r>
      <w:r w:rsidR="00EB60C9" w:rsidRPr="00D15A18">
        <w:rPr>
          <w:rFonts w:cstheme="minorHAnsi"/>
          <w:lang w:val="sr-Latn-CS"/>
        </w:rPr>
        <w:t>otklone</w:t>
      </w:r>
      <w:r w:rsidRPr="00D15A18">
        <w:rPr>
          <w:rFonts w:cstheme="minorHAnsi"/>
          <w:lang w:val="sr-Latn-CS"/>
        </w:rPr>
        <w:t xml:space="preserve"> barijere, one su povećane u okviru EU. Svakako, bilo je političkih i pravnih dobrobiti za države </w:t>
      </w:r>
      <w:r w:rsidR="00406AB8" w:rsidRPr="00D15A18">
        <w:rPr>
          <w:rFonts w:cstheme="minorHAnsi"/>
          <w:lang w:val="sr-Latn-CS"/>
        </w:rPr>
        <w:t>c</w:t>
      </w:r>
      <w:r w:rsidRPr="00D15A18">
        <w:rPr>
          <w:rFonts w:cstheme="minorHAnsi"/>
          <w:lang w:val="sr-Latn-CS"/>
        </w:rPr>
        <w:t xml:space="preserve">entralne i </w:t>
      </w:r>
      <w:r w:rsidR="00406AB8" w:rsidRPr="00D15A18">
        <w:rPr>
          <w:rFonts w:cstheme="minorHAnsi"/>
          <w:lang w:val="sr-Latn-CS"/>
        </w:rPr>
        <w:t>i</w:t>
      </w:r>
      <w:r w:rsidRPr="00D15A18">
        <w:rPr>
          <w:rFonts w:cstheme="minorHAnsi"/>
          <w:lang w:val="sr-Latn-CS"/>
        </w:rPr>
        <w:t>stočne Evrope u EU, ali to je izvan domena ovog članka. Sa ekonomske strane i imajući u vidu ogroman dug (u poređenju sa i dalje lošo</w:t>
      </w:r>
      <w:r w:rsidR="001A7680" w:rsidRPr="00D15A18">
        <w:rPr>
          <w:rFonts w:cstheme="minorHAnsi"/>
          <w:lang w:val="sr-Latn-CS"/>
        </w:rPr>
        <w:t xml:space="preserve">m i krhkom ekonomskom </w:t>
      </w:r>
      <w:r w:rsidRPr="00D15A18">
        <w:rPr>
          <w:rFonts w:cstheme="minorHAnsi"/>
          <w:lang w:val="sr-Latn-CS"/>
        </w:rPr>
        <w:t>osnovom), kao i nepovolj</w:t>
      </w:r>
      <w:r w:rsidR="001A7680" w:rsidRPr="00D15A18">
        <w:rPr>
          <w:rFonts w:cstheme="minorHAnsi"/>
          <w:lang w:val="sr-Latn-CS"/>
        </w:rPr>
        <w:t>an</w:t>
      </w:r>
      <w:r w:rsidRPr="00D15A18">
        <w:rPr>
          <w:rFonts w:cstheme="minorHAnsi"/>
          <w:lang w:val="sr-Latn-CS"/>
        </w:rPr>
        <w:t xml:space="preserve"> demografski</w:t>
      </w:r>
      <w:r w:rsidR="001A7680" w:rsidRPr="00D15A18">
        <w:rPr>
          <w:rFonts w:cstheme="minorHAnsi"/>
          <w:lang w:val="sr-Latn-CS"/>
        </w:rPr>
        <w:t xml:space="preserve"> razvoj</w:t>
      </w:r>
      <w:r w:rsidRPr="00D15A18">
        <w:rPr>
          <w:rFonts w:cstheme="minorHAnsi"/>
          <w:lang w:val="sr-Latn-CS"/>
        </w:rPr>
        <w:t xml:space="preserve">; </w:t>
      </w:r>
      <w:r w:rsidRPr="00D15A18">
        <w:rPr>
          <w:rFonts w:cstheme="minorHAnsi"/>
          <w:lang w:val="sr-Latn-CS"/>
        </w:rPr>
        <w:lastRenderedPageBreak/>
        <w:t>dugoročno gledan</w:t>
      </w:r>
      <w:r w:rsidR="001A7680" w:rsidRPr="00D15A18">
        <w:rPr>
          <w:rFonts w:cstheme="minorHAnsi"/>
          <w:lang w:val="sr-Latn-CS"/>
        </w:rPr>
        <w:t>o</w:t>
      </w:r>
      <w:r w:rsidRPr="00D15A18">
        <w:rPr>
          <w:rFonts w:cstheme="minorHAnsi"/>
          <w:lang w:val="sr-Latn-CS"/>
        </w:rPr>
        <w:t xml:space="preserve">, može se zaključiti </w:t>
      </w:r>
      <w:r w:rsidR="001A7680" w:rsidRPr="00D15A18">
        <w:rPr>
          <w:rFonts w:cstheme="minorHAnsi"/>
          <w:lang w:val="sr-Latn-CS"/>
        </w:rPr>
        <w:t>da</w:t>
      </w:r>
      <w:r w:rsidR="00406AB8" w:rsidRPr="00D15A18">
        <w:rPr>
          <w:rFonts w:cstheme="minorHAnsi"/>
          <w:lang w:val="sr-Latn-CS"/>
        </w:rPr>
        <w:t>,</w:t>
      </w:r>
      <w:r w:rsidR="001A7680" w:rsidRPr="00D15A18">
        <w:rPr>
          <w:rFonts w:cstheme="minorHAnsi"/>
          <w:lang w:val="sr-Latn-CS"/>
        </w:rPr>
        <w:t xml:space="preserve"> </w:t>
      </w:r>
      <w:r w:rsidR="00406AB8" w:rsidRPr="00D15A18">
        <w:rPr>
          <w:rFonts w:cstheme="minorHAnsi"/>
          <w:lang w:val="sr-Latn-CS"/>
        </w:rPr>
        <w:t>„</w:t>
      </w:r>
      <w:r w:rsidR="001A7680" w:rsidRPr="00D15A18">
        <w:rPr>
          <w:rFonts w:cstheme="minorHAnsi"/>
          <w:lang w:val="sr-Latn-CS"/>
        </w:rPr>
        <w:t>kada se podvuče crta</w:t>
      </w:r>
      <w:r w:rsidR="00406AB8" w:rsidRPr="00D15A18">
        <w:rPr>
          <w:rFonts w:cstheme="minorHAnsi"/>
          <w:lang w:val="sr-Latn-CS"/>
        </w:rPr>
        <w:t>“,</w:t>
      </w:r>
      <w:r w:rsidR="001A7680" w:rsidRPr="00D15A18">
        <w:rPr>
          <w:rFonts w:cstheme="minorHAnsi"/>
          <w:lang w:val="sr-Latn-CS"/>
        </w:rPr>
        <w:t xml:space="preserve"> ekonomski efekti nisu bili pozitivni. Ne govorimo o tome da su oni bili negativni, već da u dužem roku ne nalazimo opšte i jasne dugoročne sveukupne pozitivne efekte. Članstvo u EU nije plima koja podiže sve </w:t>
      </w:r>
      <w:r w:rsidR="00EB60C9" w:rsidRPr="00D15A18">
        <w:rPr>
          <w:rFonts w:cstheme="minorHAnsi"/>
          <w:lang w:val="sr-Latn-CS"/>
        </w:rPr>
        <w:t>čamce na viši nivo</w:t>
      </w:r>
      <w:r w:rsidR="001A7680" w:rsidRPr="00D15A18">
        <w:rPr>
          <w:rFonts w:cstheme="minorHAnsi"/>
          <w:lang w:val="sr-Latn-CS"/>
        </w:rPr>
        <w:t>.</w:t>
      </w:r>
    </w:p>
    <w:p w:rsidR="009F35D9" w:rsidRPr="00D15A18" w:rsidRDefault="001A7680" w:rsidP="00406AB8">
      <w:pPr>
        <w:jc w:val="both"/>
        <w:rPr>
          <w:rFonts w:cstheme="minorHAnsi"/>
          <w:lang w:val="sr-Latn-CS"/>
        </w:rPr>
      </w:pPr>
      <w:r w:rsidRPr="00D15A18">
        <w:rPr>
          <w:rFonts w:cstheme="minorHAnsi"/>
          <w:lang w:val="sr-Latn-CS"/>
        </w:rPr>
        <w:t xml:space="preserve">Naš generalni zaključak je </w:t>
      </w:r>
      <w:r w:rsidR="008E64EA" w:rsidRPr="00D15A18">
        <w:rPr>
          <w:rFonts w:cstheme="minorHAnsi"/>
          <w:lang w:val="sr-Latn-CS"/>
        </w:rPr>
        <w:t>podupret neizvesno</w:t>
      </w:r>
      <w:r w:rsidR="00EA33E3" w:rsidRPr="00D15A18">
        <w:rPr>
          <w:rFonts w:cstheme="minorHAnsi"/>
          <w:lang w:val="sr-Latn-CS"/>
        </w:rPr>
        <w:t>m budućnošću</w:t>
      </w:r>
      <w:r w:rsidR="008E64EA" w:rsidRPr="00D15A18">
        <w:rPr>
          <w:rFonts w:cstheme="minorHAnsi"/>
          <w:lang w:val="sr-Latn-CS"/>
        </w:rPr>
        <w:t xml:space="preserve"> evr</w:t>
      </w:r>
      <w:r w:rsidR="005A5AC0" w:rsidRPr="00D15A18">
        <w:rPr>
          <w:rFonts w:cstheme="minorHAnsi"/>
          <w:lang w:val="sr-Latn-CS"/>
        </w:rPr>
        <w:t>o-zone i EU.</w:t>
      </w:r>
      <w:r w:rsidR="008E64EA" w:rsidRPr="00D15A18">
        <w:rPr>
          <w:rFonts w:cstheme="minorHAnsi"/>
          <w:lang w:val="sr-Latn-CS"/>
        </w:rPr>
        <w:t xml:space="preserve"> Čak i vrhovna politička elita u EU postavlja pitanje </w:t>
      </w:r>
      <w:r w:rsidR="00915BB2" w:rsidRPr="00D15A18">
        <w:rPr>
          <w:rFonts w:cstheme="minorHAnsi"/>
          <w:lang w:val="sr-Latn-CS"/>
        </w:rPr>
        <w:t xml:space="preserve">neizvesne </w:t>
      </w:r>
      <w:r w:rsidR="008E64EA" w:rsidRPr="00D15A18">
        <w:rPr>
          <w:rFonts w:cstheme="minorHAnsi"/>
          <w:lang w:val="sr-Latn-CS"/>
        </w:rPr>
        <w:t>budućnosti EU.</w:t>
      </w:r>
      <w:r w:rsidR="008E64EA" w:rsidRPr="00D15A18">
        <w:rPr>
          <w:rFonts w:cstheme="minorHAnsi"/>
          <w:vertAlign w:val="superscript"/>
          <w:lang w:val="sr-Latn-CS"/>
        </w:rPr>
        <w:footnoteReference w:id="19"/>
      </w:r>
      <w:r w:rsidR="008E64EA" w:rsidRPr="00D15A18">
        <w:rPr>
          <w:rFonts w:cstheme="minorHAnsi"/>
          <w:lang w:val="sr-Latn-CS"/>
        </w:rPr>
        <w:t xml:space="preserve"> Ukoliko se previranja nastave ili se zaustavi ekonomski rast (Italija nije imala realan ekonomski rast dve decenije) ili</w:t>
      </w:r>
      <w:r w:rsidR="00D614BD" w:rsidRPr="00D15A18">
        <w:rPr>
          <w:rFonts w:cstheme="minorHAnsi"/>
          <w:lang w:val="sr-Latn-CS"/>
        </w:rPr>
        <w:t xml:space="preserve"> se nastavi</w:t>
      </w:r>
      <w:r w:rsidR="008E64EA" w:rsidRPr="00D15A18">
        <w:rPr>
          <w:rFonts w:cstheme="minorHAnsi"/>
          <w:lang w:val="sr-Latn-CS"/>
        </w:rPr>
        <w:t xml:space="preserve"> indiferentnost prema integraciji koja ne proizvodi </w:t>
      </w:r>
      <w:r w:rsidR="00406AB8" w:rsidRPr="00D15A18">
        <w:rPr>
          <w:rFonts w:cstheme="minorHAnsi"/>
          <w:lang w:val="sr-Latn-CS"/>
        </w:rPr>
        <w:t>osetne</w:t>
      </w:r>
      <w:r w:rsidR="008E64EA" w:rsidRPr="00D15A18">
        <w:rPr>
          <w:rFonts w:cstheme="minorHAnsi"/>
          <w:lang w:val="sr-Latn-CS"/>
        </w:rPr>
        <w:t xml:space="preserve"> pozitivne ekonomske rezultate u EU, kao što</w:t>
      </w:r>
      <w:r w:rsidR="00D614BD" w:rsidRPr="00D15A18">
        <w:rPr>
          <w:rFonts w:cstheme="minorHAnsi"/>
          <w:lang w:val="sr-Latn-CS"/>
        </w:rPr>
        <w:t xml:space="preserve"> je to bio slučaj u protekloj deceniji, države </w:t>
      </w:r>
      <w:r w:rsidR="00406AB8" w:rsidRPr="00D15A18">
        <w:rPr>
          <w:rFonts w:cstheme="minorHAnsi"/>
          <w:lang w:val="sr-Latn-CS"/>
        </w:rPr>
        <w:t>centralne i i</w:t>
      </w:r>
      <w:r w:rsidR="00D614BD" w:rsidRPr="00D15A18">
        <w:rPr>
          <w:rFonts w:cstheme="minorHAnsi"/>
          <w:lang w:val="sr-Latn-CS"/>
        </w:rPr>
        <w:t>stočne Evrope mogu postati</w:t>
      </w:r>
      <w:r w:rsidR="008E64EA" w:rsidRPr="00D15A18">
        <w:rPr>
          <w:rFonts w:cstheme="minorHAnsi"/>
          <w:lang w:val="sr-Latn-CS"/>
        </w:rPr>
        <w:t xml:space="preserve"> </w:t>
      </w:r>
      <w:r w:rsidR="00D614BD" w:rsidRPr="00D15A18">
        <w:rPr>
          <w:rFonts w:cstheme="minorHAnsi"/>
          <w:lang w:val="sr-Latn-CS"/>
        </w:rPr>
        <w:t xml:space="preserve">preopterećene stranim dugom i </w:t>
      </w:r>
      <w:r w:rsidR="00292892" w:rsidRPr="00D15A18">
        <w:rPr>
          <w:rFonts w:cstheme="minorHAnsi"/>
          <w:lang w:val="sr-Latn-CS"/>
        </w:rPr>
        <w:t xml:space="preserve">imati </w:t>
      </w:r>
      <w:r w:rsidR="00D614BD" w:rsidRPr="00D15A18">
        <w:rPr>
          <w:rFonts w:cstheme="minorHAnsi"/>
          <w:lang w:val="sr-Latn-CS"/>
        </w:rPr>
        <w:t>otvor</w:t>
      </w:r>
      <w:r w:rsidR="00292892" w:rsidRPr="00D15A18">
        <w:rPr>
          <w:rFonts w:cstheme="minorHAnsi"/>
          <w:lang w:val="sr-Latn-CS"/>
        </w:rPr>
        <w:t>ena</w:t>
      </w:r>
      <w:r w:rsidR="00D614BD" w:rsidRPr="00D15A18">
        <w:rPr>
          <w:rFonts w:cstheme="minorHAnsi"/>
          <w:lang w:val="sr-Latn-CS"/>
        </w:rPr>
        <w:t xml:space="preserve"> domaća tržišta za proizvode </w:t>
      </w:r>
      <w:r w:rsidR="009F35D9" w:rsidRPr="00D15A18">
        <w:rPr>
          <w:rFonts w:cstheme="minorHAnsi"/>
          <w:lang w:val="sr-Latn-CS"/>
        </w:rPr>
        <w:t xml:space="preserve">i usluge </w:t>
      </w:r>
      <w:r w:rsidR="00D614BD" w:rsidRPr="00D15A18">
        <w:rPr>
          <w:rFonts w:cstheme="minorHAnsi"/>
          <w:lang w:val="sr-Latn-CS"/>
        </w:rPr>
        <w:t>sa zapada EU</w:t>
      </w:r>
      <w:r w:rsidR="009F35D9" w:rsidRPr="00D15A18">
        <w:rPr>
          <w:rFonts w:cstheme="minorHAnsi"/>
          <w:lang w:val="sr-Latn-CS"/>
        </w:rPr>
        <w:t xml:space="preserve"> kojima ne mogu da konkurišu. Ukoliko se Bregzit pokaže uspešnim za Britaniju, druge države mogu da razmotre slične korake.</w:t>
      </w:r>
    </w:p>
    <w:p w:rsidR="001A7680" w:rsidRPr="00D15A18" w:rsidRDefault="009F35D9" w:rsidP="00406AB8">
      <w:pPr>
        <w:jc w:val="both"/>
        <w:rPr>
          <w:rFonts w:cstheme="minorHAnsi"/>
          <w:lang w:val="sr-Latn-CS"/>
        </w:rPr>
      </w:pPr>
      <w:r w:rsidRPr="00D15A18">
        <w:rPr>
          <w:rFonts w:cstheme="minorHAnsi"/>
          <w:lang w:val="sr-Latn-CS"/>
        </w:rPr>
        <w:t xml:space="preserve">I dalje postoje i preostaju brojne neizvesnosti. One uključuju nemogućnost i nesposobnost država EU da postignu saglasnost u vezi bilo čega od suštinskog značaja već više od jedne decenije. Bitna pitanja koja </w:t>
      </w:r>
      <w:r w:rsidR="006202A7" w:rsidRPr="00D15A18">
        <w:rPr>
          <w:rFonts w:cstheme="minorHAnsi"/>
          <w:lang w:val="sr-Latn-CS"/>
        </w:rPr>
        <w:t>su još uvek otvorena u EU i koja remete</w:t>
      </w:r>
      <w:r w:rsidR="00406AB8" w:rsidRPr="00D15A18">
        <w:rPr>
          <w:rFonts w:cstheme="minorHAnsi"/>
          <w:lang w:val="sr-Latn-CS"/>
        </w:rPr>
        <w:t xml:space="preserve"> njene aktivnosti</w:t>
      </w:r>
      <w:r w:rsidR="00D27CB1" w:rsidRPr="00D15A18">
        <w:rPr>
          <w:rFonts w:cstheme="minorHAnsi"/>
          <w:lang w:val="sr-Latn-CS"/>
        </w:rPr>
        <w:t xml:space="preserve"> su: n</w:t>
      </w:r>
      <w:r w:rsidR="006202A7" w:rsidRPr="00D15A18">
        <w:rPr>
          <w:rFonts w:cstheme="minorHAnsi"/>
          <w:lang w:val="sr-Latn-CS"/>
        </w:rPr>
        <w:t>apuštanje važne članice; nezaposlenost, naročito mladih; monetarna politika i njene posledice; fiskalna pitanja; istinske izbeglice i ekonomski migranti; slobodno kretanje ljudi; povećana socijalna neravnopravnost kao posledica d</w:t>
      </w:r>
      <w:r w:rsidR="00292892" w:rsidRPr="00D15A18">
        <w:rPr>
          <w:rFonts w:cstheme="minorHAnsi"/>
          <w:lang w:val="sr-Latn-CS"/>
        </w:rPr>
        <w:t xml:space="preserve">istribucije dohotka; bezbednost; </w:t>
      </w:r>
      <w:r w:rsidR="006202A7" w:rsidRPr="00D15A18">
        <w:rPr>
          <w:rFonts w:cstheme="minorHAnsi"/>
          <w:lang w:val="sr-Latn-CS"/>
        </w:rPr>
        <w:t>energija; odnosi sa Rusijom i Turskom; genetski modifikovani organizmi; … tako da je potencijalno novo proširivanje EU</w:t>
      </w:r>
      <w:r w:rsidR="00D27CB1" w:rsidRPr="00D15A18">
        <w:rPr>
          <w:rFonts w:cstheme="minorHAnsi"/>
          <w:lang w:val="sr-Latn-CS"/>
        </w:rPr>
        <w:t>,</w:t>
      </w:r>
      <w:r w:rsidR="006202A7" w:rsidRPr="00D15A18">
        <w:rPr>
          <w:rFonts w:cstheme="minorHAnsi"/>
          <w:lang w:val="sr-Latn-CS"/>
        </w:rPr>
        <w:t xml:space="preserve"> z</w:t>
      </w:r>
      <w:r w:rsidR="00D27CB1" w:rsidRPr="00D15A18">
        <w:rPr>
          <w:rFonts w:cstheme="minorHAnsi"/>
          <w:lang w:val="sr-Latn-CS"/>
        </w:rPr>
        <w:t xml:space="preserve">apravo, na samom kraju </w:t>
      </w:r>
      <w:r w:rsidR="00292892" w:rsidRPr="00D15A18">
        <w:rPr>
          <w:rFonts w:cstheme="minorHAnsi"/>
          <w:lang w:val="sr-Latn-CS"/>
        </w:rPr>
        <w:t>spiska</w:t>
      </w:r>
      <w:r w:rsidR="00D27CB1" w:rsidRPr="00D15A18">
        <w:rPr>
          <w:rFonts w:cstheme="minorHAnsi"/>
          <w:lang w:val="sr-Latn-CS"/>
        </w:rPr>
        <w:t xml:space="preserve"> prioriteta</w:t>
      </w:r>
      <w:r w:rsidR="009D2A80" w:rsidRPr="00D15A18">
        <w:rPr>
          <w:rFonts w:cstheme="minorHAnsi"/>
          <w:lang w:val="sr-Latn-CS"/>
        </w:rPr>
        <w:t>, naročito imajući u vidu to da su kandidati za ulazak države koje su se pokazale kao problematične.</w:t>
      </w:r>
    </w:p>
    <w:p w:rsidR="00582A73" w:rsidRPr="00D15A18" w:rsidRDefault="009D2A80" w:rsidP="00406AB8">
      <w:pPr>
        <w:jc w:val="both"/>
        <w:rPr>
          <w:rFonts w:cstheme="minorHAnsi"/>
          <w:lang w:val="sr-Latn-CS"/>
        </w:rPr>
      </w:pPr>
      <w:r w:rsidRPr="00D15A18">
        <w:rPr>
          <w:rFonts w:cstheme="minorHAnsi"/>
          <w:lang w:val="sr-Latn-CS"/>
        </w:rPr>
        <w:t>Proširenje je uvek donosilo različite posledice E</w:t>
      </w:r>
      <w:r w:rsidR="00292892" w:rsidRPr="00D15A18">
        <w:rPr>
          <w:rFonts w:cstheme="minorHAnsi"/>
          <w:lang w:val="sr-Latn-CS"/>
        </w:rPr>
        <w:t>U</w:t>
      </w:r>
      <w:r w:rsidRPr="00D15A18">
        <w:rPr>
          <w:rFonts w:cstheme="minorHAnsi"/>
          <w:lang w:val="sr-Latn-CS"/>
        </w:rPr>
        <w:t>. Da li je EU dostigla fazu u kojoj je njena najuspešnija politika (a to je proširenje) postala političk</w:t>
      </w:r>
      <w:r w:rsidR="008B5096" w:rsidRPr="00D15A18">
        <w:rPr>
          <w:rFonts w:cstheme="minorHAnsi"/>
          <w:lang w:val="sr-Latn-CS"/>
        </w:rPr>
        <w:t>i</w:t>
      </w:r>
      <w:r w:rsidRPr="00D15A18">
        <w:rPr>
          <w:rFonts w:cstheme="minorHAnsi"/>
          <w:lang w:val="sr-Latn-CS"/>
        </w:rPr>
        <w:t xml:space="preserve"> i ekonomsk</w:t>
      </w:r>
      <w:r w:rsidR="008B5096" w:rsidRPr="00D15A18">
        <w:rPr>
          <w:rFonts w:cstheme="minorHAnsi"/>
          <w:lang w:val="sr-Latn-CS"/>
        </w:rPr>
        <w:t>i teret</w:t>
      </w:r>
      <w:r w:rsidRPr="00D15A18">
        <w:rPr>
          <w:rFonts w:cstheme="minorHAnsi"/>
          <w:lang w:val="sr-Latn-CS"/>
        </w:rPr>
        <w:t xml:space="preserve">? Šezdesetogodišnjoj </w:t>
      </w:r>
      <w:r w:rsidR="00D27CB1" w:rsidRPr="00D15A18">
        <w:rPr>
          <w:rFonts w:cstheme="minorHAnsi"/>
          <w:lang w:val="sr-Latn-CS"/>
        </w:rPr>
        <w:t>e</w:t>
      </w:r>
      <w:r w:rsidRPr="00D15A18">
        <w:rPr>
          <w:rFonts w:cstheme="minorHAnsi"/>
          <w:lang w:val="sr-Latn-CS"/>
        </w:rPr>
        <w:t xml:space="preserve">vropskoj integraciji koja se sprovodi potrebno je podmlađivanje. Bitna država-članica je napušta, dok su mnoge druge koje ostaju </w:t>
      </w:r>
      <w:r w:rsidR="008B5096" w:rsidRPr="00D15A18">
        <w:rPr>
          <w:rFonts w:cstheme="minorHAnsi"/>
          <w:lang w:val="sr-Latn-CS"/>
        </w:rPr>
        <w:t xml:space="preserve">u njenom članstvu </w:t>
      </w:r>
      <w:r w:rsidRPr="00D15A18">
        <w:rPr>
          <w:rFonts w:cstheme="minorHAnsi"/>
          <w:lang w:val="sr-Latn-CS"/>
        </w:rPr>
        <w:t xml:space="preserve">na političkim i ekonomskim štakama. </w:t>
      </w:r>
      <w:r w:rsidR="00DE5E8B" w:rsidRPr="00D15A18">
        <w:rPr>
          <w:rFonts w:cstheme="minorHAnsi"/>
          <w:lang w:val="sr-Latn-CS"/>
        </w:rPr>
        <w:t xml:space="preserve">Potrebno je da se dovede </w:t>
      </w:r>
      <w:r w:rsidR="00D27CB1" w:rsidRPr="00D15A18">
        <w:rPr>
          <w:rFonts w:cstheme="minorHAnsi"/>
          <w:lang w:val="sr-Latn-CS"/>
        </w:rPr>
        <w:t xml:space="preserve">u red stanje u </w:t>
      </w:r>
      <w:r w:rsidR="00DE5E8B" w:rsidRPr="00D15A18">
        <w:rPr>
          <w:rFonts w:cstheme="minorHAnsi"/>
          <w:lang w:val="sr-Latn-CS"/>
        </w:rPr>
        <w:t>postojećim članicama pre nego što se pristupi proširenju i prihvatanju problematičnih i prilično siromašnih novih država.</w:t>
      </w:r>
    </w:p>
    <w:p w:rsidR="00B30325" w:rsidRPr="00E91EEC" w:rsidRDefault="00B30325" w:rsidP="00B30325">
      <w:pPr>
        <w:jc w:val="both"/>
        <w:rPr>
          <w:rFonts w:cstheme="minorHAnsi"/>
          <w:sz w:val="24"/>
          <w:szCs w:val="24"/>
          <w:lang w:val="sr-Latn-CS"/>
        </w:rPr>
      </w:pPr>
    </w:p>
    <w:p w:rsidR="00B30325" w:rsidRPr="00E91EEC" w:rsidRDefault="00B30325" w:rsidP="00B30325">
      <w:pPr>
        <w:jc w:val="both"/>
        <w:rPr>
          <w:rFonts w:cstheme="minorHAnsi"/>
          <w:sz w:val="24"/>
          <w:szCs w:val="24"/>
          <w:highlight w:val="yellow"/>
          <w:lang w:val="sr-Latn-CS"/>
        </w:rPr>
      </w:pPr>
      <w:r w:rsidRPr="00E91EEC">
        <w:rPr>
          <w:rFonts w:cstheme="minorHAnsi"/>
          <w:sz w:val="24"/>
          <w:szCs w:val="24"/>
          <w:highlight w:val="yellow"/>
          <w:lang w:val="sr-Latn-CS"/>
        </w:rPr>
        <w:t>SUMMARY</w:t>
      </w:r>
    </w:p>
    <w:p w:rsidR="00B30325" w:rsidRPr="00E91EEC" w:rsidRDefault="00B30325" w:rsidP="00B30325">
      <w:pPr>
        <w:jc w:val="both"/>
        <w:rPr>
          <w:rFonts w:cstheme="minorHAnsi"/>
          <w:lang w:val="sr-Latn-CS"/>
        </w:rPr>
      </w:pPr>
      <w:r w:rsidRPr="00E91EEC">
        <w:rPr>
          <w:rFonts w:cstheme="minorHAnsi"/>
          <w:highlight w:val="yellow"/>
          <w:lang w:val="sr-Latn-CS"/>
        </w:rPr>
        <w:t xml:space="preserve">Judged by the number of </w:t>
      </w:r>
      <w:r w:rsidR="00FB72CF" w:rsidRPr="00E91EEC">
        <w:rPr>
          <w:rFonts w:cstheme="minorHAnsi"/>
          <w:highlight w:val="yellow"/>
          <w:lang w:val="sr-Latn-CS"/>
        </w:rPr>
        <w:t xml:space="preserve">EU </w:t>
      </w:r>
      <w:r w:rsidRPr="00E91EEC">
        <w:rPr>
          <w:rFonts w:cstheme="minorHAnsi"/>
          <w:highlight w:val="yellow"/>
          <w:lang w:val="sr-Latn-CS"/>
        </w:rPr>
        <w:t>member countries, enlargement has been one of the most successful EU policies. This article considers the economic side of EU eastern enlargement and covers statistical indicators in the period 2000-20</w:t>
      </w:r>
      <w:r w:rsidR="009901F8" w:rsidRPr="00E91EEC">
        <w:rPr>
          <w:rFonts w:cstheme="minorHAnsi"/>
          <w:highlight w:val="yellow"/>
          <w:lang w:val="sr-Latn-CS"/>
        </w:rPr>
        <w:t>16. Eastern EU countries had a strong</w:t>
      </w:r>
      <w:r w:rsidRPr="00E91EEC">
        <w:rPr>
          <w:rFonts w:cstheme="minorHAnsi"/>
          <w:highlight w:val="yellow"/>
          <w:lang w:val="sr-Latn-CS"/>
        </w:rPr>
        <w:t xml:space="preserve"> economic expansion </w:t>
      </w:r>
      <w:r w:rsidR="009901F8" w:rsidRPr="00E91EEC">
        <w:rPr>
          <w:rFonts w:cstheme="minorHAnsi"/>
          <w:highlight w:val="yellow"/>
          <w:lang w:val="sr-Latn-CS"/>
        </w:rPr>
        <w:t xml:space="preserve">in the EU (the base was rather low) </w:t>
      </w:r>
      <w:r w:rsidR="00FB72CF" w:rsidRPr="00E91EEC">
        <w:rPr>
          <w:rFonts w:cstheme="minorHAnsi"/>
          <w:highlight w:val="yellow"/>
          <w:lang w:val="sr-Latn-CS"/>
        </w:rPr>
        <w:t xml:space="preserve">together with </w:t>
      </w:r>
      <w:r w:rsidRPr="00E91EEC">
        <w:rPr>
          <w:rFonts w:cstheme="minorHAnsi"/>
          <w:highlight w:val="yellow"/>
          <w:lang w:val="sr-Latn-CS"/>
        </w:rPr>
        <w:t xml:space="preserve">an increase in exports. Imports also increased, but faster than exports. Deficit in trade had to be financed through a fast increase in foreign debt. Having in mind negative demographical trends in the Eastern part of the EU and the potential debt burden, the new Eastern countries have been living on an inter-generational credit card. Long-term benefits of the EU entry were oversold in the Eastern EU countries. </w:t>
      </w:r>
      <w:r w:rsidR="00E863D9" w:rsidRPr="00E91EEC">
        <w:rPr>
          <w:rFonts w:cstheme="minorHAnsi"/>
          <w:highlight w:val="yellow"/>
          <w:lang w:val="sr-Latn-CS"/>
        </w:rPr>
        <w:t>The turmoil in the EU such as the departure of Britain, no growth economy, euro-related economic quagmire, unemployment, immigration and others put further enlargements on hold.</w:t>
      </w:r>
      <w:r w:rsidR="00E863D9" w:rsidRPr="00E91EEC">
        <w:rPr>
          <w:rFonts w:cstheme="minorHAnsi"/>
          <w:lang w:val="sr-Latn-CS"/>
        </w:rPr>
        <w:t xml:space="preserve"> </w:t>
      </w:r>
    </w:p>
    <w:p w:rsidR="00582A73" w:rsidRPr="00E91EEC" w:rsidRDefault="00582A73">
      <w:pPr>
        <w:rPr>
          <w:rFonts w:cstheme="minorHAnsi"/>
          <w:sz w:val="24"/>
          <w:szCs w:val="24"/>
          <w:lang w:val="sr-Latn-CS"/>
        </w:rPr>
      </w:pPr>
      <w:r w:rsidRPr="00E91EEC">
        <w:rPr>
          <w:rFonts w:cstheme="minorHAnsi"/>
          <w:sz w:val="24"/>
          <w:szCs w:val="24"/>
          <w:lang w:val="sr-Latn-CS"/>
        </w:rPr>
        <w:br w:type="page"/>
      </w:r>
    </w:p>
    <w:p w:rsidR="00582A73" w:rsidRPr="00E93A3F" w:rsidRDefault="00582A73" w:rsidP="00582A73">
      <w:pPr>
        <w:rPr>
          <w:b/>
          <w:lang w:val="sr-Latn-CS"/>
        </w:rPr>
      </w:pPr>
      <w:r w:rsidRPr="00E93A3F">
        <w:rPr>
          <w:b/>
          <w:lang w:val="sr-Latn-CS"/>
        </w:rPr>
        <w:lastRenderedPageBreak/>
        <w:t>Literatura</w:t>
      </w:r>
    </w:p>
    <w:p w:rsidR="00582A73" w:rsidRPr="00E93A3F" w:rsidRDefault="00582A73" w:rsidP="00582A73">
      <w:pPr>
        <w:rPr>
          <w:lang w:val="sr-Latn-CS"/>
        </w:rPr>
      </w:pPr>
    </w:p>
    <w:p w:rsidR="00582A73" w:rsidRPr="00E93A3F" w:rsidRDefault="00582A73" w:rsidP="00E93A3F">
      <w:pPr>
        <w:autoSpaceDE w:val="0"/>
        <w:autoSpaceDN w:val="0"/>
        <w:adjustRightInd w:val="0"/>
        <w:spacing w:after="0"/>
        <w:jc w:val="both"/>
        <w:rPr>
          <w:lang w:val="sr-Latn-CS"/>
        </w:rPr>
      </w:pPr>
      <w:r w:rsidRPr="00E93A3F">
        <w:rPr>
          <w:lang w:val="sr-Latn-CS"/>
        </w:rPr>
        <w:t>Atoyan, R., L. Christiansen, A. Dizioli, C. Ebeke, N. Ilahi, A. Ilyina, G. Mehrez, H. Qu, F. Raei, A. Rhee and D. Zakharova (2016). ‘</w:t>
      </w:r>
      <w:r w:rsidRPr="00E93A3F">
        <w:rPr>
          <w:bCs/>
          <w:lang w:val="sr-Latn-CS"/>
        </w:rPr>
        <w:t xml:space="preserve">Emigration and Its Economic Impact on Eastern Europe’, IMF Staff Discussion Note, July. </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 xml:space="preserve">Bagarella, G. (2016). ‘Assessing United Nations economic sanctions: The relationship between sanctions and imports in eleven targeted states from 1990 to 2014.” </w:t>
      </w:r>
      <w:r w:rsidRPr="00E93A3F">
        <w:rPr>
          <w:iCs/>
          <w:lang w:val="sr-Latn-CS"/>
        </w:rPr>
        <w:t>Asian Journal of Public Affairs</w:t>
      </w:r>
      <w:r w:rsidRPr="00E93A3F">
        <w:rPr>
          <w:lang w:val="sr-Latn-CS"/>
        </w:rPr>
        <w:t>, pp. 1-22.</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 xml:space="preserve">Baldwin, R. (1995). ‘A domino theory of regionalism’ in Expanding Membership of the European Union (eds R. Baldwin, P. Haaparanta and J. Kiander). Cambridge: Cambridge University Press, pp. 25-48. </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Jovanović, M. (2000). ‘Eastern enlargement of the European Union: sour grapes or sweet lemon?’, Economia Internazionale, pp. 507-536.</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Jovanović, M. (2013). The Economics of European Integration. Cheltenham: Edward Elgar.</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Jovanović, M. (2015). The Economics of International Integration. Cheltenham: Edward Elgar.</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Jovanović, M. (2015). ‘The eurozone Greek tragedy’, Law and Politics, pp. 7-24.</w:t>
      </w:r>
      <w:r w:rsidRPr="00E93A3F" w:rsidDel="002C0302">
        <w:rPr>
          <w:lang w:val="sr-Latn-CS"/>
        </w:rPr>
        <w:t xml:space="preserve"> </w:t>
      </w:r>
    </w:p>
    <w:p w:rsidR="006A1E2C" w:rsidRPr="00E93A3F" w:rsidRDefault="006A1E2C"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 xml:space="preserve">Jovanović, M., and J. Damnjanović (2013). ‘Geopolitics of the European Union: </w:t>
      </w:r>
      <w:r w:rsidR="00E93A3F" w:rsidRPr="00E93A3F">
        <w:rPr>
          <w:lang w:val="sr-Latn-CS"/>
        </w:rPr>
        <w:t>a</w:t>
      </w:r>
      <w:r w:rsidRPr="00E93A3F">
        <w:rPr>
          <w:lang w:val="sr-Latn-CS"/>
        </w:rPr>
        <w:t xml:space="preserve">re steps backward the way forward?’, </w:t>
      </w:r>
      <w:r w:rsidRPr="00E93A3F">
        <w:rPr>
          <w:iCs/>
          <w:lang w:val="sr-Latn-CS"/>
        </w:rPr>
        <w:t>Economia Internazionale/International Economics</w:t>
      </w:r>
      <w:r w:rsidRPr="00E93A3F">
        <w:rPr>
          <w:lang w:val="sr-Latn-CS"/>
        </w:rPr>
        <w:t xml:space="preserve">, pp. 455-482. </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 xml:space="preserve">Jovanović, M., and J. Damnjanović (2014). ‘EU eastern enlargement: economic effects on new members 2000-2012’, </w:t>
      </w:r>
      <w:r w:rsidRPr="00E93A3F">
        <w:rPr>
          <w:iCs/>
          <w:lang w:val="sr-Latn-CS"/>
        </w:rPr>
        <w:t>Journal of Economic Integration</w:t>
      </w:r>
      <w:r w:rsidRPr="00E93A3F">
        <w:rPr>
          <w:lang w:val="sr-Latn-CS"/>
        </w:rPr>
        <w:t xml:space="preserve">, pp. 201-243.  </w:t>
      </w:r>
    </w:p>
    <w:p w:rsidR="00582A73" w:rsidRPr="00E93A3F" w:rsidRDefault="00582A73" w:rsidP="00E93A3F">
      <w:pPr>
        <w:spacing w:after="0"/>
        <w:jc w:val="both"/>
        <w:rPr>
          <w:lang w:val="sr-Latn-CS"/>
        </w:rPr>
      </w:pPr>
    </w:p>
    <w:p w:rsidR="00E93A3F" w:rsidRPr="00E93A3F" w:rsidRDefault="00E93A3F" w:rsidP="00E93A3F">
      <w:pPr>
        <w:spacing w:after="0" w:line="240" w:lineRule="auto"/>
        <w:jc w:val="both"/>
        <w:rPr>
          <w:rFonts w:cs="Arial"/>
        </w:rPr>
      </w:pPr>
      <w:r w:rsidRPr="00E93A3F">
        <w:rPr>
          <w:lang w:val="sr-Latn-CS"/>
        </w:rPr>
        <w:t xml:space="preserve">Jovanović, M., and J. Damnjanović (2014). </w:t>
      </w:r>
      <w:r w:rsidRPr="00E93A3F">
        <w:rPr>
          <w:rFonts w:cs="Arial"/>
        </w:rPr>
        <w:t xml:space="preserve">‘European integration: back into the future’, European Union Review, vol. 19, No. 1-2-3 March-November, pp. 39-77. </w:t>
      </w:r>
    </w:p>
    <w:p w:rsidR="00E93A3F" w:rsidRPr="00E93A3F" w:rsidRDefault="00E93A3F"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 xml:space="preserve">Lipsey, R.G., and M. Smith (2011). ‘Multilateral versus regional trading arrangements: substitutes or complements?’ in (ed. M. Jovanović) International Handbook on the Economics of Integration: </w:t>
      </w:r>
      <w:r w:rsidRPr="00E93A3F">
        <w:rPr>
          <w:color w:val="000000"/>
          <w:lang w:val="sr-Latn-CS"/>
        </w:rPr>
        <w:t>General Issues and Regional Groups.</w:t>
      </w:r>
      <w:r w:rsidRPr="00E93A3F">
        <w:rPr>
          <w:lang w:val="sr-Latn-CS"/>
        </w:rPr>
        <w:t xml:space="preserve"> Cheltenham: Edward Elgar, pp. 90-120.</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Minford, P. (2015). Should Britain Leave the EU? Cheltenham: Edward Elgar.</w:t>
      </w:r>
    </w:p>
    <w:p w:rsidR="00582A73" w:rsidRPr="00E93A3F" w:rsidRDefault="00582A73" w:rsidP="00E93A3F">
      <w:pPr>
        <w:spacing w:after="0"/>
        <w:jc w:val="both"/>
        <w:rPr>
          <w:lang w:val="sr-Latn-CS"/>
        </w:rPr>
      </w:pPr>
    </w:p>
    <w:p w:rsidR="00582A73" w:rsidRPr="00E93A3F" w:rsidRDefault="00582A73" w:rsidP="00E93A3F">
      <w:pPr>
        <w:spacing w:after="0"/>
        <w:jc w:val="both"/>
        <w:rPr>
          <w:lang w:val="sr-Latn-CS"/>
        </w:rPr>
      </w:pPr>
      <w:r w:rsidRPr="00E93A3F">
        <w:rPr>
          <w:lang w:val="sr-Latn-CS"/>
        </w:rPr>
        <w:t>Stiglitz, J. (2016). The Euro. New York: Norton.</w:t>
      </w:r>
    </w:p>
    <w:p w:rsidR="00582A73" w:rsidRPr="00E93A3F" w:rsidRDefault="00582A73" w:rsidP="00582A73">
      <w:pPr>
        <w:jc w:val="both"/>
        <w:rPr>
          <w:lang w:val="sr-Latn-CS"/>
        </w:rPr>
      </w:pPr>
    </w:p>
    <w:p w:rsidR="00582A73" w:rsidRPr="00E91EEC" w:rsidRDefault="00582A73" w:rsidP="00406AB8">
      <w:pPr>
        <w:jc w:val="both"/>
        <w:rPr>
          <w:rFonts w:cstheme="minorHAnsi"/>
          <w:sz w:val="24"/>
          <w:szCs w:val="24"/>
          <w:lang w:val="sr-Latn-CS"/>
        </w:rPr>
        <w:sectPr w:rsidR="00582A73" w:rsidRPr="00E91EEC">
          <w:footerReference w:type="default" r:id="rId8"/>
          <w:pgSz w:w="11906" w:h="16838"/>
          <w:pgMar w:top="1417" w:right="1417" w:bottom="1417" w:left="1417" w:header="708" w:footer="708" w:gutter="0"/>
          <w:cols w:space="708"/>
          <w:docGrid w:linePitch="360"/>
        </w:sectPr>
      </w:pPr>
    </w:p>
    <w:p w:rsidR="00582A73" w:rsidRPr="00E91EEC" w:rsidRDefault="006463B8" w:rsidP="00582A73">
      <w:pPr>
        <w:spacing w:after="0" w:line="360" w:lineRule="auto"/>
        <w:jc w:val="center"/>
        <w:rPr>
          <w:rFonts w:ascii="Times New Roman" w:eastAsia="Times New Roman" w:hAnsi="Times New Roman" w:cs="Times New Roman"/>
          <w:sz w:val="24"/>
          <w:szCs w:val="24"/>
          <w:lang w:val="sr-Latn-CS"/>
        </w:rPr>
      </w:pPr>
      <w:r w:rsidRPr="00E91EEC">
        <w:rPr>
          <w:rFonts w:ascii="Times New Roman" w:eastAsia="Times New Roman" w:hAnsi="Times New Roman" w:cs="Times New Roman"/>
          <w:sz w:val="24"/>
          <w:szCs w:val="24"/>
          <w:lang w:val="sr-Latn-CS"/>
        </w:rPr>
        <w:lastRenderedPageBreak/>
        <w:t>ANEKS</w:t>
      </w:r>
      <w:r w:rsidR="00582A73" w:rsidRPr="00E91EEC">
        <w:rPr>
          <w:rFonts w:ascii="Times New Roman" w:eastAsia="Times New Roman" w:hAnsi="Times New Roman" w:cs="Times New Roman"/>
          <w:sz w:val="24"/>
          <w:szCs w:val="24"/>
          <w:lang w:val="sr-Latn-CS"/>
        </w:rPr>
        <w:t xml:space="preserve"> 1 – TAB</w:t>
      </w:r>
      <w:r w:rsidRPr="00E91EEC">
        <w:rPr>
          <w:rFonts w:ascii="Times New Roman" w:eastAsia="Times New Roman" w:hAnsi="Times New Roman" w:cs="Times New Roman"/>
          <w:sz w:val="24"/>
          <w:szCs w:val="24"/>
          <w:lang w:val="sr-Latn-CS"/>
        </w:rPr>
        <w:t>E</w:t>
      </w:r>
      <w:r w:rsidR="00582A73" w:rsidRPr="00E91EEC">
        <w:rPr>
          <w:rFonts w:ascii="Times New Roman" w:eastAsia="Times New Roman" w:hAnsi="Times New Roman" w:cs="Times New Roman"/>
          <w:sz w:val="24"/>
          <w:szCs w:val="24"/>
          <w:lang w:val="sr-Latn-CS"/>
        </w:rPr>
        <w:t>LE</w:t>
      </w:r>
    </w:p>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Cs w:val="20"/>
          <w:lang w:val="sr-Latn-CS"/>
        </w:rPr>
        <w:t>Tab</w:t>
      </w:r>
      <w:r w:rsidR="006463B8" w:rsidRPr="00E91EEC">
        <w:rPr>
          <w:rFonts w:ascii="Times New Roman" w:eastAsia="Times New Roman" w:hAnsi="Times New Roman" w:cs="Times New Roman"/>
          <w:szCs w:val="20"/>
          <w:lang w:val="sr-Latn-CS"/>
        </w:rPr>
        <w:t>e</w:t>
      </w:r>
      <w:r w:rsidRPr="00E91EEC">
        <w:rPr>
          <w:rFonts w:ascii="Times New Roman" w:eastAsia="Times New Roman" w:hAnsi="Times New Roman" w:cs="Times New Roman"/>
          <w:szCs w:val="20"/>
          <w:lang w:val="sr-Latn-CS"/>
        </w:rPr>
        <w:t>l</w:t>
      </w:r>
      <w:r w:rsidR="006463B8" w:rsidRPr="00E91EEC">
        <w:rPr>
          <w:rFonts w:ascii="Times New Roman" w:eastAsia="Times New Roman" w:hAnsi="Times New Roman" w:cs="Times New Roman"/>
          <w:szCs w:val="20"/>
          <w:lang w:val="sr-Latn-CS"/>
        </w:rPr>
        <w:t>a</w:t>
      </w:r>
      <w:r w:rsidRPr="00E91EEC">
        <w:rPr>
          <w:rFonts w:ascii="Times New Roman" w:eastAsia="Times New Roman" w:hAnsi="Times New Roman" w:cs="Times New Roman"/>
          <w:szCs w:val="20"/>
          <w:lang w:val="sr-Latn-CS"/>
        </w:rPr>
        <w:t xml:space="preserve"> 1. </w:t>
      </w:r>
      <w:r w:rsidR="006463B8" w:rsidRPr="00E91EEC">
        <w:rPr>
          <w:rFonts w:ascii="Times New Roman" w:eastAsia="Times New Roman" w:hAnsi="Times New Roman" w:cs="Times New Roman"/>
          <w:szCs w:val="20"/>
          <w:lang w:val="sr-Latn-CS"/>
        </w:rPr>
        <w:t>BDP u EU i istočnim zemljama članicama, procentualna promena u odnosu na prethodni period</w:t>
      </w:r>
      <w:r w:rsidRPr="00E91EEC">
        <w:rPr>
          <w:rFonts w:ascii="Times New Roman" w:eastAsia="Times New Roman" w:hAnsi="Times New Roman" w:cs="Times New Roman"/>
          <w:sz w:val="20"/>
          <w:szCs w:val="20"/>
          <w:lang w:val="sr-Latn-CS"/>
        </w:rPr>
        <w:t xml:space="preserve"> (2000-2016)</w:t>
      </w:r>
    </w:p>
    <w:tbl>
      <w:tblPr>
        <w:tblW w:w="5000" w:type="pct"/>
        <w:tblLook w:val="04A0"/>
      </w:tblPr>
      <w:tblGrid>
        <w:gridCol w:w="2372"/>
        <w:gridCol w:w="781"/>
        <w:gridCol w:w="784"/>
        <w:gridCol w:w="784"/>
        <w:gridCol w:w="787"/>
        <w:gridCol w:w="781"/>
        <w:gridCol w:w="781"/>
        <w:gridCol w:w="781"/>
        <w:gridCol w:w="781"/>
        <w:gridCol w:w="781"/>
        <w:gridCol w:w="781"/>
        <w:gridCol w:w="781"/>
        <w:gridCol w:w="781"/>
        <w:gridCol w:w="774"/>
        <w:gridCol w:w="774"/>
        <w:gridCol w:w="774"/>
        <w:gridCol w:w="774"/>
        <w:gridCol w:w="762"/>
      </w:tblGrid>
      <w:tr w:rsidR="00582A73" w:rsidRPr="00E91EEC" w:rsidTr="00582A73">
        <w:trPr>
          <w:trHeight w:val="227"/>
        </w:trPr>
        <w:tc>
          <w:tcPr>
            <w:tcW w:w="760" w:type="pct"/>
            <w:tcBorders>
              <w:top w:val="single" w:sz="4" w:space="0" w:color="000000"/>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2000</w:t>
            </w:r>
          </w:p>
        </w:tc>
        <w:tc>
          <w:tcPr>
            <w:tcW w:w="251"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2001</w:t>
            </w:r>
          </w:p>
        </w:tc>
        <w:tc>
          <w:tcPr>
            <w:tcW w:w="251"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2002</w:t>
            </w:r>
          </w:p>
        </w:tc>
        <w:tc>
          <w:tcPr>
            <w:tcW w:w="252"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2003</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2004</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2005</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2006</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2007</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2008</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2009</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2010</w:t>
            </w:r>
          </w:p>
        </w:tc>
        <w:tc>
          <w:tcPr>
            <w:tcW w:w="250"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2011</w:t>
            </w:r>
          </w:p>
        </w:tc>
        <w:tc>
          <w:tcPr>
            <w:tcW w:w="248"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2012</w:t>
            </w:r>
          </w:p>
        </w:tc>
        <w:tc>
          <w:tcPr>
            <w:tcW w:w="248"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2013</w:t>
            </w:r>
          </w:p>
        </w:tc>
        <w:tc>
          <w:tcPr>
            <w:tcW w:w="248"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2014</w:t>
            </w:r>
          </w:p>
        </w:tc>
        <w:tc>
          <w:tcPr>
            <w:tcW w:w="248"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2015</w:t>
            </w:r>
          </w:p>
        </w:tc>
        <w:tc>
          <w:tcPr>
            <w:tcW w:w="244"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2016</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 xml:space="preserve">EU (28 </w:t>
            </w:r>
            <w:r w:rsidR="00DE363E" w:rsidRPr="00E91EEC">
              <w:rPr>
                <w:rFonts w:ascii="Times New Roman" w:eastAsia="Times New Roman" w:hAnsi="Times New Roman" w:cs="Times New Roman"/>
                <w:sz w:val="20"/>
                <w:szCs w:val="20"/>
                <w:lang w:val="sr-Latn-CS"/>
              </w:rPr>
              <w:t>zemalja</w:t>
            </w:r>
            <w:r w:rsidRPr="00E91EEC">
              <w:rPr>
                <w:rFonts w:ascii="Times New Roman" w:eastAsia="Times New Roman" w:hAnsi="Times New Roman" w:cs="Times New Roman"/>
                <w:sz w:val="20"/>
                <w:szCs w:val="20"/>
                <w:lang w:val="sr-Latn-CS"/>
              </w:rPr>
              <w:t>)</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1.3</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1.6</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-0.4</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0.3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1.7</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2.2</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1.9</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 xml:space="preserve">Euro </w:t>
            </w:r>
            <w:r w:rsidR="00DE363E" w:rsidRPr="00E91EEC">
              <w:rPr>
                <w:rFonts w:ascii="Times New Roman" w:eastAsia="Times New Roman" w:hAnsi="Times New Roman" w:cs="Times New Roman"/>
                <w:sz w:val="20"/>
                <w:szCs w:val="20"/>
                <w:lang w:val="sr-Latn-CS"/>
              </w:rPr>
              <w:t>oblast</w:t>
            </w:r>
            <w:r w:rsidRPr="00E91EEC">
              <w:rPr>
                <w:rFonts w:ascii="Times New Roman" w:eastAsia="Times New Roman" w:hAnsi="Times New Roman" w:cs="Times New Roman"/>
                <w:sz w:val="20"/>
                <w:szCs w:val="20"/>
                <w:lang w:val="sr-Latn-CS"/>
              </w:rPr>
              <w:t xml:space="preserve"> (17 </w:t>
            </w:r>
            <w:r w:rsidR="00DE363E" w:rsidRPr="00E91EEC">
              <w:rPr>
                <w:rFonts w:ascii="Times New Roman" w:eastAsia="Times New Roman" w:hAnsi="Times New Roman" w:cs="Times New Roman"/>
                <w:sz w:val="20"/>
                <w:szCs w:val="20"/>
                <w:lang w:val="sr-Latn-CS"/>
              </w:rPr>
              <w:t>zemalja</w:t>
            </w:r>
            <w:r w:rsidRPr="00E91EEC">
              <w:rPr>
                <w:rFonts w:ascii="Times New Roman" w:eastAsia="Times New Roman" w:hAnsi="Times New Roman" w:cs="Times New Roman"/>
                <w:sz w:val="20"/>
                <w:szCs w:val="20"/>
                <w:lang w:val="sr-Latn-CS"/>
              </w:rPr>
              <w:t>)</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3.8</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0.9</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1.5</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-0.6</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-0.3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1.8</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Bugarska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4.2</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4.7</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1.8</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0.8</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0.9</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3.6</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3.4</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Hrvatska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3.8</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4.9</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0.0</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-1.1</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-0.5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2.2</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3.0</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Kipar</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5.0</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4.0</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2.1</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0.5</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-2.4</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-6.0</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1.7</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2.8</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Češka Republika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4.2</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3.1</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2.1</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1.8</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-1.2</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-0.5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2.7</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5.3</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2.6</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Estonija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9.7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6.3</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6.6</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8.9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10.1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-14.1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9.6</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1.9</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2.9</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1.7</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2.1</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Mađarska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4.2</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4.5</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1.6</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-1.7</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2.1</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4.0</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3.1</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Letonija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7.3</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7.2</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8.9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10.1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11.2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9.6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-17.7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5.5</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2.6</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2.1</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2.7</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Litvanija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3.6</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6.8</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10.3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9.8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-14.8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5.9</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3.7</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1.8</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2.3</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Malta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0.0</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2.4</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1.6</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0.8</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4.6</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8.3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7.3</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5.0</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Poljska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4.3</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1.2</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1.4</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4.5</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1.9</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1.4</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3.8</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2.7</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Rumunija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2.4</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5.7</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5.1</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8.5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4.2</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-6.6</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2.2</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0.7</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3.1</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3.9</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4.8</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Slovačka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1.4</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3.5</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4.6</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5.1</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6.7</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8.3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10.5</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3.2</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2.6</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3.8</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3.3</w:t>
            </w:r>
          </w:p>
        </w:tc>
      </w:tr>
      <w:tr w:rsidR="00582A73" w:rsidRPr="00E91EEC" w:rsidTr="00582A73">
        <w:trPr>
          <w:trHeight w:val="227"/>
        </w:trPr>
        <w:tc>
          <w:tcPr>
            <w:tcW w:w="760"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Slovenija</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4.3</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2.9</w:t>
            </w:r>
          </w:p>
        </w:tc>
        <w:tc>
          <w:tcPr>
            <w:tcW w:w="251"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3.8</w:t>
            </w:r>
          </w:p>
        </w:tc>
        <w:tc>
          <w:tcPr>
            <w:tcW w:w="252"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4.0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5.8</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7.0</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3.4</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-7.9</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1.3</w:t>
            </w:r>
          </w:p>
        </w:tc>
        <w:tc>
          <w:tcPr>
            <w:tcW w:w="250"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0.7</w:t>
            </w:r>
          </w:p>
        </w:tc>
        <w:tc>
          <w:tcPr>
            <w:tcW w:w="24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-2.5</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-1.1</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w:t>
            </w:r>
          </w:p>
        </w:tc>
        <w:tc>
          <w:tcPr>
            <w:tcW w:w="24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2.3</w:t>
            </w:r>
          </w:p>
        </w:tc>
        <w:tc>
          <w:tcPr>
            <w:tcW w:w="24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3.1</w:t>
            </w:r>
          </w:p>
        </w:tc>
      </w:tr>
    </w:tbl>
    <w:p w:rsidR="00582A73" w:rsidRPr="00E91EEC" w:rsidRDefault="006463B8"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hyperlink r:id="rId9" w:history="1">
        <w:r w:rsidR="00582A73" w:rsidRPr="00E91EEC">
          <w:rPr>
            <w:rFonts w:ascii="Times New Roman" w:eastAsia="Times New Roman" w:hAnsi="Times New Roman" w:cs="Times New Roman"/>
            <w:color w:val="0000FF"/>
            <w:sz w:val="20"/>
            <w:szCs w:val="20"/>
            <w:u w:val="single"/>
            <w:lang w:val="sr-Latn-CS"/>
          </w:rPr>
          <w:t>http://epp.eurostat.ec.europa.eu/tgm/table.do?tabpercentage change=table&amp;init=1&amp;plugin=1&amp;language=en&amp;pcode=tec00115</w:t>
        </w:r>
      </w:hyperlink>
      <w:r w:rsidR="00582A73" w:rsidRPr="00E91EEC">
        <w:rPr>
          <w:rFonts w:ascii="Times New Roman" w:eastAsia="Times New Roman" w:hAnsi="Times New Roman" w:cs="Times New Roman"/>
          <w:sz w:val="20"/>
          <w:szCs w:val="20"/>
          <w:lang w:val="sr-Latn-CS"/>
        </w:rPr>
        <w:t xml:space="preserve"> (</w:t>
      </w:r>
      <w:r w:rsidRPr="00E91EEC">
        <w:rPr>
          <w:rFonts w:ascii="Times New Roman" w:eastAsia="Times New Roman" w:hAnsi="Times New Roman" w:cs="Times New Roman"/>
          <w:sz w:val="20"/>
          <w:szCs w:val="20"/>
          <w:lang w:val="sr-Latn-CS"/>
        </w:rPr>
        <w:t xml:space="preserve">pristupljeno </w:t>
      </w:r>
      <w:r w:rsidR="00582A73" w:rsidRPr="00E91EEC">
        <w:rPr>
          <w:rFonts w:ascii="Times New Roman" w:eastAsia="Times New Roman" w:hAnsi="Times New Roman" w:cs="Times New Roman"/>
          <w:sz w:val="20"/>
          <w:szCs w:val="20"/>
          <w:lang w:val="sr-Latn-CS"/>
        </w:rPr>
        <w:t>09.09.2017.)</w:t>
      </w:r>
    </w:p>
    <w:p w:rsidR="00582A73" w:rsidRPr="00E91EEC" w:rsidRDefault="00582A73" w:rsidP="00582A73">
      <w:pPr>
        <w:spacing w:after="0" w:line="240" w:lineRule="auto"/>
        <w:jc w:val="both"/>
        <w:rPr>
          <w:rFonts w:ascii="Times New Roman" w:eastAsia="Times New Roman" w:hAnsi="Times New Roman" w:cs="Times New Roman"/>
          <w:sz w:val="20"/>
          <w:szCs w:val="20"/>
          <w:highlight w:val="yellow"/>
          <w:lang w:val="sr-Latn-CS"/>
        </w:rPr>
      </w:pPr>
    </w:p>
    <w:p w:rsidR="00582A73" w:rsidRPr="00E91EEC" w:rsidRDefault="006463B8" w:rsidP="00582A73">
      <w:pPr>
        <w:spacing w:after="0" w:line="240" w:lineRule="auto"/>
        <w:jc w:val="both"/>
        <w:rPr>
          <w:rFonts w:ascii="Times New Roman" w:eastAsia="Times New Roman" w:hAnsi="Times New Roman" w:cs="Times New Roman"/>
          <w:szCs w:val="20"/>
          <w:lang w:val="sr-Latn-CS"/>
        </w:rPr>
      </w:pPr>
      <w:r w:rsidRPr="00E91EEC">
        <w:rPr>
          <w:rFonts w:ascii="Times New Roman" w:eastAsia="Times New Roman" w:hAnsi="Times New Roman" w:cs="Times New Roman"/>
          <w:szCs w:val="20"/>
          <w:lang w:val="sr-Latn-CS"/>
        </w:rPr>
        <w:t>Tabela 2. IZVOZ – EU trgovina: Ukupno i posmatrano po istočnim zemljama članicama, u milionima eura, 2000-2016.</w:t>
      </w:r>
    </w:p>
    <w:tbl>
      <w:tblPr>
        <w:tblW w:w="15512" w:type="dxa"/>
        <w:tblLayout w:type="fixed"/>
        <w:tblCellMar>
          <w:left w:w="57" w:type="dxa"/>
          <w:right w:w="57" w:type="dxa"/>
        </w:tblCellMar>
        <w:tblLook w:val="04A0"/>
      </w:tblPr>
      <w:tblGrid>
        <w:gridCol w:w="1191"/>
        <w:gridCol w:w="709"/>
        <w:gridCol w:w="851"/>
        <w:gridCol w:w="851"/>
        <w:gridCol w:w="850"/>
        <w:gridCol w:w="851"/>
        <w:gridCol w:w="851"/>
        <w:gridCol w:w="850"/>
        <w:gridCol w:w="851"/>
        <w:gridCol w:w="851"/>
        <w:gridCol w:w="851"/>
        <w:gridCol w:w="850"/>
        <w:gridCol w:w="851"/>
        <w:gridCol w:w="851"/>
        <w:gridCol w:w="850"/>
        <w:gridCol w:w="851"/>
        <w:gridCol w:w="851"/>
        <w:gridCol w:w="851"/>
      </w:tblGrid>
      <w:tr w:rsidR="00582A73" w:rsidRPr="00E91EEC" w:rsidTr="00435467">
        <w:trPr>
          <w:trHeight w:val="227"/>
        </w:trPr>
        <w:tc>
          <w:tcPr>
            <w:tcW w:w="1191" w:type="dxa"/>
            <w:tcBorders>
              <w:top w:val="single" w:sz="4" w:space="0" w:color="000000"/>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tc>
        <w:tc>
          <w:tcPr>
            <w:tcW w:w="709"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2000</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2001</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2002</w:t>
            </w:r>
          </w:p>
        </w:tc>
        <w:tc>
          <w:tcPr>
            <w:tcW w:w="850"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2003</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2004</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2005</w:t>
            </w:r>
          </w:p>
        </w:tc>
        <w:tc>
          <w:tcPr>
            <w:tcW w:w="850"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2006</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2007</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2008</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2009</w:t>
            </w:r>
          </w:p>
        </w:tc>
        <w:tc>
          <w:tcPr>
            <w:tcW w:w="850"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2010</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2011</w:t>
            </w:r>
          </w:p>
        </w:tc>
        <w:tc>
          <w:tcPr>
            <w:tcW w:w="851" w:type="dxa"/>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2012</w:t>
            </w:r>
          </w:p>
        </w:tc>
        <w:tc>
          <w:tcPr>
            <w:tcW w:w="850" w:type="dxa"/>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2013</w:t>
            </w:r>
          </w:p>
        </w:tc>
        <w:tc>
          <w:tcPr>
            <w:tcW w:w="851" w:type="dxa"/>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2014</w:t>
            </w:r>
          </w:p>
        </w:tc>
        <w:tc>
          <w:tcPr>
            <w:tcW w:w="851" w:type="dxa"/>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2015</w:t>
            </w:r>
          </w:p>
        </w:tc>
        <w:tc>
          <w:tcPr>
            <w:tcW w:w="851" w:type="dxa"/>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2016</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EU (28)</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849,740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884,707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885,313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861,923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945,185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1,049,477</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1,152,485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1,234,482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1,309,147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1,093,961</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1,354,055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1,554,511</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1,684,928</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1,736,371</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1,703,460</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1,789,953</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1,743,641</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Bugarska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2,302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2,247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2,284</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2,417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2,982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3,553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4,416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5,167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5,959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4,035</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6,010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7,576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8,533</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8,921</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8,279</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8,025</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7,543</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Hrvatska</w:t>
            </w:r>
          </w:p>
        </w:tc>
        <w:tc>
          <w:tcPr>
            <w:tcW w:w="709"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1,761</w:t>
            </w:r>
          </w:p>
        </w:tc>
        <w:tc>
          <w:tcPr>
            <w:tcW w:w="850"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1,731</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2,205</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2,595</w:t>
            </w:r>
          </w:p>
        </w:tc>
        <w:tc>
          <w:tcPr>
            <w:tcW w:w="850"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2,944</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3,575</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3,743</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2,968</w:t>
            </w:r>
          </w:p>
        </w:tc>
        <w:tc>
          <w:tcPr>
            <w:tcW w:w="850"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3,466</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3,846</w:t>
            </w:r>
          </w:p>
        </w:tc>
        <w:tc>
          <w:tcPr>
            <w:tcW w:w="851" w:type="dxa"/>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4,026</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3,632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3,813</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3,976</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4,307</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Kipar</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174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217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190</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315</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340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297</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356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417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532</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640</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1,136</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1,652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1,378</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Češka Republika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4,438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5,024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5,562</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5,210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6,824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8,748</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10,434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12,713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14,593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12,023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15,707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19,465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22,850</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23,066</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23,422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23,804</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23,992</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Estonija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411</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690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667</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702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934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1,353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2,653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2,388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2,532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1,976</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2,745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4,045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4,254</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3,569</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3,353</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2,880</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3,110</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Mađarska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4,997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5,522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5,344</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5,654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6,987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8,942</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11,567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13,612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14,936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11,795</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15,555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18,226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18,214</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17,941</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16,655</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16,607</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17,159</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Letonija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390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479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537</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525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729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971</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1,347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1,666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2,166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1,785</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2,351</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3,206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4,001</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3,657</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3,452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3,372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3,306</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Litvanija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973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1,275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1,697</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2,289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2,448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3,253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4,088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4,399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6,374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4,205</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6,097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7,780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9,122</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10,932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11,003</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8,855</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8,886</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Malta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1,754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966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1,127</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1,020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1,023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923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1,070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1,397</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1,412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1,228</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1,591</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1,855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2,016</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1,509</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1,102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1,276</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1,660</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Poljska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6,460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7,563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8,069</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8,443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11,679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15,144</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18,284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21,251</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25,356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19,666</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24,903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29,544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34,320</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38,588</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37,424</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37,083</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37,402</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Rumunija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3,136</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3,151</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3,804</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3,753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4,643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6,470</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7,565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8,159</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9,823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7,413</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10,288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13,000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13,315</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15,065</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15,182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14,369</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14,307</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Slovačka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1,312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1,323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1,510</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2,608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2,854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3,182</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4,233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5,463</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6,864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5,510</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7,448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8,540</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9,953</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11,009</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10,172</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9,859</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10,198</w:t>
            </w:r>
          </w:p>
        </w:tc>
      </w:tr>
      <w:tr w:rsidR="00582A73" w:rsidRPr="00E91EEC" w:rsidTr="00435467">
        <w:trPr>
          <w:trHeight w:val="227"/>
        </w:trPr>
        <w:tc>
          <w:tcPr>
            <w:tcW w:w="1191" w:type="dxa"/>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Slovenija</w:t>
            </w:r>
          </w:p>
        </w:tc>
        <w:tc>
          <w:tcPr>
            <w:tcW w:w="709"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2,648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3,038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2,485</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2,584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3,065</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3,520</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4,232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4,988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5,484</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4,308</w:t>
            </w:r>
          </w:p>
        </w:tc>
        <w:tc>
          <w:tcPr>
            <w:tcW w:w="850"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4,938</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5,662</w:t>
            </w:r>
          </w:p>
        </w:tc>
        <w:tc>
          <w:tcPr>
            <w:tcW w:w="851" w:type="dxa"/>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6,258</w:t>
            </w:r>
          </w:p>
        </w:tc>
        <w:tc>
          <w:tcPr>
            <w:tcW w:w="850"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6,445</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6,696</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6,924</w:t>
            </w:r>
          </w:p>
        </w:tc>
        <w:tc>
          <w:tcPr>
            <w:tcW w:w="851" w:type="dxa"/>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7,335</w:t>
            </w:r>
          </w:p>
        </w:tc>
      </w:tr>
    </w:tbl>
    <w:p w:rsidR="00582A73" w:rsidRPr="00E91EEC" w:rsidRDefault="00435467" w:rsidP="00582A73">
      <w:pPr>
        <w:spacing w:after="0" w:line="240" w:lineRule="auto"/>
        <w:jc w:val="both"/>
        <w:rPr>
          <w:rFonts w:ascii="Times New Roman" w:eastAsia="Times New Roman" w:hAnsi="Times New Roman" w:cs="Times New Roman"/>
          <w:color w:val="0000FF"/>
          <w:sz w:val="20"/>
          <w:szCs w:val="20"/>
          <w:u w:val="single"/>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hyperlink r:id="rId10" w:history="1">
        <w:r w:rsidR="00582A73" w:rsidRPr="00E91EEC">
          <w:rPr>
            <w:rFonts w:ascii="Times New Roman" w:eastAsia="Times New Roman" w:hAnsi="Times New Roman" w:cs="Times New Roman"/>
            <w:color w:val="0000FF"/>
            <w:sz w:val="20"/>
            <w:szCs w:val="20"/>
            <w:u w:val="single"/>
            <w:lang w:val="sr-Latn-CS"/>
          </w:rPr>
          <w:t>http://appsso.eurostat.ec.europa.eu/nui/show.do?dataset=ext_lt_intratrd&amp;lang=en</w:t>
        </w:r>
      </w:hyperlink>
      <w:r w:rsidR="00582A73" w:rsidRPr="00E91EEC">
        <w:rPr>
          <w:rFonts w:ascii="Times New Roman" w:eastAsia="Times New Roman" w:hAnsi="Times New Roman" w:cs="Times New Roman"/>
          <w:color w:val="0000FF"/>
          <w:sz w:val="20"/>
          <w:szCs w:val="20"/>
          <w:u w:val="single"/>
          <w:lang w:val="sr-Latn-CS"/>
        </w:rPr>
        <w:t xml:space="preserve"> </w:t>
      </w:r>
      <w:r w:rsidRPr="00E91EEC">
        <w:rPr>
          <w:rFonts w:ascii="Times New Roman" w:eastAsia="Times New Roman" w:hAnsi="Times New Roman" w:cs="Times New Roman"/>
          <w:sz w:val="20"/>
          <w:szCs w:val="20"/>
          <w:lang w:val="sr-Latn-CS"/>
        </w:rPr>
        <w:t>(pristupljeno 09.09.2017)</w:t>
      </w:r>
    </w:p>
    <w:p w:rsidR="006463B8" w:rsidRPr="00E91EEC" w:rsidRDefault="006463B8" w:rsidP="00582A73">
      <w:pPr>
        <w:spacing w:after="0" w:line="240" w:lineRule="auto"/>
        <w:jc w:val="both"/>
        <w:rPr>
          <w:rFonts w:ascii="Times New Roman" w:eastAsia="Times New Roman" w:hAnsi="Times New Roman" w:cs="Times New Roman"/>
          <w:szCs w:val="20"/>
          <w:lang w:val="sr-Latn-CS"/>
        </w:rPr>
      </w:pPr>
    </w:p>
    <w:p w:rsidR="00435467" w:rsidRPr="00E91EEC" w:rsidRDefault="00435467" w:rsidP="00582A73">
      <w:pPr>
        <w:spacing w:after="0" w:line="240" w:lineRule="auto"/>
        <w:jc w:val="both"/>
        <w:rPr>
          <w:rFonts w:ascii="Times New Roman" w:eastAsia="Times New Roman" w:hAnsi="Times New Roman" w:cs="Times New Roman"/>
          <w:szCs w:val="20"/>
          <w:lang w:val="sr-Latn-CS"/>
        </w:rPr>
      </w:pPr>
    </w:p>
    <w:p w:rsidR="00582A73" w:rsidRPr="00E91EEC" w:rsidRDefault="006463B8" w:rsidP="00582A73">
      <w:pPr>
        <w:spacing w:after="0" w:line="240" w:lineRule="auto"/>
        <w:jc w:val="both"/>
        <w:rPr>
          <w:rFonts w:ascii="Times New Roman" w:eastAsia="Times New Roman" w:hAnsi="Times New Roman" w:cs="Times New Roman"/>
          <w:szCs w:val="20"/>
          <w:lang w:val="sr-Latn-CS"/>
        </w:rPr>
      </w:pPr>
      <w:r w:rsidRPr="00E91EEC">
        <w:rPr>
          <w:rFonts w:ascii="Times New Roman" w:eastAsia="Times New Roman" w:hAnsi="Times New Roman" w:cs="Times New Roman"/>
          <w:szCs w:val="20"/>
          <w:lang w:val="sr-Latn-CS"/>
        </w:rPr>
        <w:lastRenderedPageBreak/>
        <w:t>Tabela 3. Uvoz - EU trgovina: Ukupno i posmatrano po istočnim zemljama članicama, u milionima eura, 2000-2016.</w:t>
      </w:r>
    </w:p>
    <w:tbl>
      <w:tblPr>
        <w:tblW w:w="5000" w:type="pct"/>
        <w:tblLayout w:type="fixed"/>
        <w:tblCellMar>
          <w:left w:w="57" w:type="dxa"/>
          <w:right w:w="57" w:type="dxa"/>
        </w:tblCellMar>
        <w:tblLook w:val="04A0"/>
      </w:tblPr>
      <w:tblGrid>
        <w:gridCol w:w="1050"/>
        <w:gridCol w:w="851"/>
        <w:gridCol w:w="851"/>
        <w:gridCol w:w="851"/>
        <w:gridCol w:w="851"/>
        <w:gridCol w:w="851"/>
        <w:gridCol w:w="851"/>
        <w:gridCol w:w="851"/>
        <w:gridCol w:w="851"/>
        <w:gridCol w:w="851"/>
        <w:gridCol w:w="851"/>
        <w:gridCol w:w="851"/>
        <w:gridCol w:w="851"/>
        <w:gridCol w:w="850"/>
        <w:gridCol w:w="850"/>
        <w:gridCol w:w="850"/>
        <w:gridCol w:w="850"/>
        <w:gridCol w:w="850"/>
      </w:tblGrid>
      <w:tr w:rsidR="00582A73" w:rsidRPr="00E91EEC" w:rsidTr="00582A73">
        <w:trPr>
          <w:trHeight w:val="227"/>
        </w:trPr>
        <w:tc>
          <w:tcPr>
            <w:tcW w:w="338" w:type="pct"/>
            <w:tcBorders>
              <w:top w:val="single" w:sz="4" w:space="0" w:color="000000"/>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2000</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2001</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2002</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2003</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2004</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2005</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2006</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2007</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2008</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2009</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2010</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2011</w:t>
            </w:r>
          </w:p>
        </w:tc>
        <w:tc>
          <w:tcPr>
            <w:tcW w:w="274" w:type="pct"/>
            <w:tcBorders>
              <w:top w:val="single" w:sz="4" w:space="0" w:color="000000"/>
              <w:left w:val="nil"/>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2012</w:t>
            </w:r>
          </w:p>
        </w:tc>
        <w:tc>
          <w:tcPr>
            <w:tcW w:w="274"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2013</w:t>
            </w:r>
          </w:p>
        </w:tc>
        <w:tc>
          <w:tcPr>
            <w:tcW w:w="274"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2014</w:t>
            </w:r>
          </w:p>
        </w:tc>
        <w:tc>
          <w:tcPr>
            <w:tcW w:w="274"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2015</w:t>
            </w:r>
          </w:p>
        </w:tc>
        <w:tc>
          <w:tcPr>
            <w:tcW w:w="274" w:type="pct"/>
            <w:tcBorders>
              <w:top w:val="single" w:sz="4" w:space="0" w:color="000000"/>
              <w:left w:val="nil"/>
              <w:bottom w:val="single" w:sz="4" w:space="0" w:color="000000"/>
              <w:right w:val="single" w:sz="4" w:space="0" w:color="000000"/>
            </w:tcBorders>
            <w:shd w:val="clear" w:color="auto" w:fill="99CCFF"/>
            <w:vAlign w:val="bottom"/>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2016</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 xml:space="preserve">EU (28 </w:t>
            </w:r>
            <w:r w:rsidR="00DE363E" w:rsidRPr="00E91EEC">
              <w:rPr>
                <w:rFonts w:ascii="Times New Roman" w:eastAsia="Times New Roman" w:hAnsi="Times New Roman" w:cs="Times New Roman"/>
                <w:sz w:val="20"/>
                <w:szCs w:val="20"/>
                <w:lang w:val="sr-Latn-CS"/>
              </w:rPr>
              <w:t>zemalja</w:t>
            </w:r>
            <w:r w:rsidRPr="00E91EEC">
              <w:rPr>
                <w:rFonts w:ascii="Times New Roman" w:eastAsia="Times New Roman" w:hAnsi="Times New Roman" w:cs="Times New Roman"/>
                <w:sz w:val="20"/>
                <w:szCs w:val="20"/>
                <w:lang w:val="sr-Latn-CS"/>
              </w:rPr>
              <w:t>)</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992,695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979,143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937,036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934,974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1,027,392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1,183,909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1,368,254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1,450,340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1,585,231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1,235,636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1,531,518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1,729,980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1,798,758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1,687,440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1,692,867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1,730,186</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1,710,443</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Bugarska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3,337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3,489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3,546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4,036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4,969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4,642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5,952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9,002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10,802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6,721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7,953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9,480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10,499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10,405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10,006</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9,394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8,719</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Hrvatska</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3,182</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3,364</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3,875</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4,797</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5,616</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6,635</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7,468</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5,674</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6,027</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6,216</w:t>
            </w:r>
          </w:p>
        </w:tc>
        <w:tc>
          <w:tcPr>
            <w:tcW w:w="274"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6,080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5,491</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4,083</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4,136</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4,566</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Kipar</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1,405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1,539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1,656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1,418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1,346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1,558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1,940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2,313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1,543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1,910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1,918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1,749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1,404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2,137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2,312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2,393</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Češka Republika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8,597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10,303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11,757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13,026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11,047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11,388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14,408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17,079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22,236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16,458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23,908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27,700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27,072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25,164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26,263</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28,972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26,809</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Estonija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1,357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1,613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1,580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2,002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1,757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1,950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2,735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2,444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2,200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1,426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1,872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2,958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3,123</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2,494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2,517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2,396</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2,468</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Mađarska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11,806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12,793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13,905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14,938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15,230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15,995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18,419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21,076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23,294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17,319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21,263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22,258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21,707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21,319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19,602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19,427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18,936</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Letonija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891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938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961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1,129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1,384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2,152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2,513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2,105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2,616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2,925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2,690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2,585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2,692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2,515</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Litvanija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2,569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3,066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3,430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3,739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3,631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5,061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5,742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5,633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8,970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5,366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7,660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9,871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10,538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10,399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8,907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8,201</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7,160</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Malta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1,455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998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908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722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1,005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912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849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802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1,139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1,178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1,340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1,914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1,809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2,548</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Poljska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16,483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16,990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17,687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18,306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17,746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20,119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27,224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32,223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39,856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29,299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39,168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45,356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50,008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48,497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51,099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51,857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49,709</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Rumunija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4,941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5,719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5,999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6,731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8,919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11,994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14,873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14,662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17,259</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10,431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12,823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14,925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14,404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13,415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14,428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14,392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15,392</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Slovačka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4,15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4,613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4,700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5,075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5,052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6,133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8,825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11,166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13,483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9,970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13,687</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15,292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15,829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15,815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14,768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14,110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13,536</w:t>
            </w:r>
          </w:p>
        </w:tc>
      </w:tr>
      <w:tr w:rsidR="00582A73" w:rsidRPr="00E91EEC" w:rsidTr="00582A73">
        <w:trPr>
          <w:trHeight w:val="227"/>
        </w:trPr>
        <w:tc>
          <w:tcPr>
            <w:tcW w:w="338" w:type="pct"/>
            <w:tcBorders>
              <w:top w:val="nil"/>
              <w:left w:val="single" w:sz="4" w:space="0" w:color="000000"/>
              <w:bottom w:val="single" w:sz="4" w:space="0" w:color="000000"/>
              <w:right w:val="single" w:sz="4" w:space="0" w:color="000000"/>
            </w:tcBorders>
            <w:shd w:val="clear" w:color="auto" w:fill="99CCFF"/>
            <w:noWrap/>
            <w:vAlign w:val="bottom"/>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Slovenija</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2,538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16"/>
                <w:lang w:val="sr-Latn-CS"/>
              </w:rPr>
            </w:pPr>
            <w:r w:rsidRPr="00E91EEC">
              <w:rPr>
                <w:rFonts w:ascii="Times New Roman" w:eastAsia="Times New Roman" w:hAnsi="Times New Roman" w:cs="Times New Roman"/>
                <w:sz w:val="16"/>
                <w:szCs w:val="16"/>
                <w:lang w:val="sr-Latn-CS"/>
              </w:rPr>
              <w:t>2,576</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2,430</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2,035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2,683</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3,395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4,981</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6,195</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4,708</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6,242</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7,104</w:t>
            </w:r>
          </w:p>
        </w:tc>
        <w:tc>
          <w:tcPr>
            <w:tcW w:w="274"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6,975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7,525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7,895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8,076</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8,030</w:t>
            </w:r>
          </w:p>
        </w:tc>
      </w:tr>
    </w:tbl>
    <w:p w:rsidR="00582A73" w:rsidRPr="00E91EEC" w:rsidRDefault="00435467" w:rsidP="00582A73">
      <w:pPr>
        <w:spacing w:after="0" w:line="240" w:lineRule="auto"/>
        <w:jc w:val="both"/>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hyperlink r:id="rId11" w:history="1">
        <w:r w:rsidR="00582A73" w:rsidRPr="00E91EEC">
          <w:rPr>
            <w:rFonts w:ascii="Times New Roman" w:eastAsia="Times New Roman" w:hAnsi="Times New Roman" w:cs="Times New Roman"/>
            <w:color w:val="0000FF"/>
            <w:sz w:val="20"/>
            <w:szCs w:val="20"/>
            <w:u w:val="single"/>
            <w:lang w:val="sr-Latn-CS"/>
          </w:rPr>
          <w:t>http://appsso.eurostat.ec.europa.eu/nui/show.do?dataset=ext_lt_intratrd&amp;lang=en</w:t>
        </w:r>
      </w:hyperlink>
      <w:r w:rsidR="00582A73" w:rsidRPr="00E91EEC">
        <w:rPr>
          <w:rFonts w:ascii="Times New Roman" w:eastAsia="Times New Roman" w:hAnsi="Times New Roman" w:cs="Times New Roman"/>
          <w:color w:val="0000FF"/>
          <w:sz w:val="20"/>
          <w:szCs w:val="20"/>
          <w:u w:val="single"/>
          <w:lang w:val="sr-Latn-CS"/>
        </w:rPr>
        <w:t xml:space="preserve"> </w:t>
      </w:r>
      <w:r w:rsidRPr="00E91EEC">
        <w:rPr>
          <w:rFonts w:ascii="Times New Roman" w:eastAsia="Times New Roman" w:hAnsi="Times New Roman" w:cs="Times New Roman"/>
          <w:sz w:val="20"/>
          <w:szCs w:val="20"/>
          <w:lang w:val="sr-Latn-CS"/>
        </w:rPr>
        <w:t>(pristupljeno 09.09.2017)</w:t>
      </w:r>
    </w:p>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p w:rsidR="00582A73" w:rsidRPr="00E91EEC" w:rsidRDefault="006463B8" w:rsidP="00582A73">
      <w:pPr>
        <w:spacing w:after="0" w:line="240" w:lineRule="auto"/>
        <w:jc w:val="both"/>
        <w:rPr>
          <w:rFonts w:ascii="Times New Roman" w:eastAsia="Times New Roman" w:hAnsi="Times New Roman" w:cs="Times New Roman"/>
          <w:szCs w:val="20"/>
          <w:lang w:val="sr-Latn-CS"/>
        </w:rPr>
      </w:pPr>
      <w:r w:rsidRPr="00E91EEC">
        <w:rPr>
          <w:rFonts w:ascii="Times New Roman" w:eastAsia="Times New Roman" w:hAnsi="Times New Roman" w:cs="Times New Roman"/>
          <w:szCs w:val="20"/>
          <w:lang w:val="sr-Latn-CS"/>
        </w:rPr>
        <w:t>Tabela 4. EU spoljnotrgovinski balans - Ukupno i posmatrano po istočnim zemljama članicama, u milionima eura, 2000-2016.</w:t>
      </w:r>
    </w:p>
    <w:tbl>
      <w:tblPr>
        <w:tblW w:w="5000" w:type="pct"/>
        <w:tblLayout w:type="fixed"/>
        <w:tblLook w:val="04A0"/>
      </w:tblPr>
      <w:tblGrid>
        <w:gridCol w:w="869"/>
        <w:gridCol w:w="869"/>
        <w:gridCol w:w="868"/>
        <w:gridCol w:w="868"/>
        <w:gridCol w:w="868"/>
        <w:gridCol w:w="868"/>
        <w:gridCol w:w="868"/>
        <w:gridCol w:w="868"/>
        <w:gridCol w:w="868"/>
        <w:gridCol w:w="868"/>
        <w:gridCol w:w="868"/>
        <w:gridCol w:w="868"/>
        <w:gridCol w:w="868"/>
        <w:gridCol w:w="868"/>
        <w:gridCol w:w="868"/>
        <w:gridCol w:w="868"/>
        <w:gridCol w:w="868"/>
        <w:gridCol w:w="856"/>
      </w:tblGrid>
      <w:tr w:rsidR="00582A73" w:rsidRPr="00E91EEC" w:rsidTr="00582A73">
        <w:trPr>
          <w:trHeight w:val="227"/>
        </w:trPr>
        <w:tc>
          <w:tcPr>
            <w:tcW w:w="278" w:type="pct"/>
            <w:tcBorders>
              <w:top w:val="single" w:sz="4" w:space="0" w:color="000000"/>
              <w:left w:val="single" w:sz="4" w:space="0" w:color="000000"/>
              <w:bottom w:val="single" w:sz="4" w:space="0" w:color="000000"/>
              <w:right w:val="single" w:sz="4" w:space="0" w:color="000000"/>
            </w:tcBorders>
            <w:shd w:val="clear" w:color="auto" w:fill="99CCFF"/>
            <w:noWrap/>
            <w:vAlign w:val="center"/>
          </w:tcPr>
          <w:p w:rsidR="00582A73" w:rsidRPr="00E91EEC" w:rsidRDefault="00582A73" w:rsidP="00582A73">
            <w:pPr>
              <w:spacing w:after="0" w:line="240" w:lineRule="auto"/>
              <w:jc w:val="both"/>
              <w:rPr>
                <w:rFonts w:ascii="Times New Roman" w:eastAsia="Times New Roman" w:hAnsi="Times New Roman" w:cs="Times New Roman"/>
                <w:sz w:val="14"/>
                <w:szCs w:val="20"/>
                <w:lang w:val="sr-Latn-CS"/>
              </w:rPr>
            </w:pP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2000</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2001</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2002</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2003</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2004</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2005</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2006</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2007</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2008</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2009</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2010</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2011</w:t>
            </w:r>
          </w:p>
        </w:tc>
        <w:tc>
          <w:tcPr>
            <w:tcW w:w="278" w:type="pct"/>
            <w:tcBorders>
              <w:top w:val="single" w:sz="4" w:space="0" w:color="000000"/>
              <w:left w:val="nil"/>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2012</w:t>
            </w:r>
          </w:p>
        </w:tc>
        <w:tc>
          <w:tcPr>
            <w:tcW w:w="278" w:type="pct"/>
            <w:tcBorders>
              <w:top w:val="single" w:sz="4" w:space="0" w:color="000000"/>
              <w:left w:val="nil"/>
              <w:bottom w:val="single" w:sz="4" w:space="0" w:color="000000"/>
              <w:right w:val="single" w:sz="4" w:space="0" w:color="000000"/>
            </w:tcBorders>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2013</w:t>
            </w:r>
          </w:p>
        </w:tc>
        <w:tc>
          <w:tcPr>
            <w:tcW w:w="278" w:type="pct"/>
            <w:tcBorders>
              <w:top w:val="single" w:sz="4" w:space="0" w:color="000000"/>
              <w:left w:val="nil"/>
              <w:bottom w:val="single" w:sz="4" w:space="0" w:color="000000"/>
              <w:right w:val="single" w:sz="4" w:space="0" w:color="000000"/>
            </w:tcBorders>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2014</w:t>
            </w:r>
          </w:p>
        </w:tc>
        <w:tc>
          <w:tcPr>
            <w:tcW w:w="278" w:type="pct"/>
            <w:tcBorders>
              <w:top w:val="single" w:sz="4" w:space="0" w:color="000000"/>
              <w:left w:val="nil"/>
              <w:bottom w:val="single" w:sz="4" w:space="0" w:color="000000"/>
              <w:right w:val="single" w:sz="4" w:space="0" w:color="000000"/>
            </w:tcBorders>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2015</w:t>
            </w:r>
          </w:p>
        </w:tc>
        <w:tc>
          <w:tcPr>
            <w:tcW w:w="274" w:type="pct"/>
            <w:tcBorders>
              <w:top w:val="single" w:sz="4" w:space="0" w:color="000000"/>
              <w:left w:val="nil"/>
              <w:bottom w:val="single" w:sz="4" w:space="0" w:color="000000"/>
              <w:right w:val="single" w:sz="4" w:space="0" w:color="000000"/>
            </w:tcBorders>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14"/>
                <w:szCs w:val="20"/>
                <w:lang w:val="sr-Latn-CS"/>
              </w:rPr>
            </w:pPr>
            <w:r w:rsidRPr="00E91EEC">
              <w:rPr>
                <w:rFonts w:ascii="Times New Roman" w:eastAsia="Times New Roman" w:hAnsi="Times New Roman" w:cs="Times New Roman"/>
                <w:sz w:val="14"/>
                <w:szCs w:val="20"/>
                <w:lang w:val="sr-Latn-CS"/>
              </w:rPr>
              <w:t>2016</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EU (28)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-142,956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-94,436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-51,723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-73,051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-82,207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-134,432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-215,768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-215,858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-276,084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-141,675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-177,463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-175,469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-113,829</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48,931</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10,593</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59,767</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33,198</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Bugarska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-1,034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-1,242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-1,262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-1,619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-1,987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-1,089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-1,536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-3,836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-4,843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-2,686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-1,943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-1,904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-1,966</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-1,484</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-1,369</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-1,176</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Hrvatska</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-1,421</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-1,633</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-1,670</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-2,203</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-2,672</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-3,060</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-3,725</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-2,707</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-2,561</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-2,370</w:t>
            </w:r>
          </w:p>
        </w:tc>
        <w:tc>
          <w:tcPr>
            <w:tcW w:w="278" w:type="pct"/>
            <w:tcBorders>
              <w:top w:val="nil"/>
              <w:left w:val="nil"/>
              <w:bottom w:val="single" w:sz="4" w:space="0" w:color="000000"/>
              <w:right w:val="single" w:sz="4" w:space="0" w:color="000000"/>
            </w:tcBorders>
            <w:shd w:val="clear" w:color="auto" w:fill="auto"/>
            <w:noWrap/>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-2,054</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-1,859</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-270</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-259</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Kipar</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-1,231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-1,322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-1,467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-1,256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-1,098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-1,243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-1,409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-1,654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-1,973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-1,246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-1,553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-1,501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-1,217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-764</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-1,001</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-660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-1,015</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Češka Republika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-4,159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-5,279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-6,195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-7,816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-4,223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-2,640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-3,975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-4,366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-7,643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-4,435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-8,202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-8,235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-4,222</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-2,097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-2,841</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-5,168</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-2,817</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Estonija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-946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-923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-913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-1,300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-597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550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873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1,088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1,131</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1,076</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835</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484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642</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Mađarska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-6,809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-7,271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-8,562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-9,284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-8,243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-7,053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-6,852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-7,464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-8,358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-5,524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-5,708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-4,032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-3,493</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-3,378</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-2,948</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-2,821</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-1,777</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Letonija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-501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-459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-604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-656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-752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-805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-847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-517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591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1,075</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967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867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680</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790</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Litvanija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-1,596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-1,791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-1,733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-1,451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-1,182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-1,808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-1,654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-1,235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-2,596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-1,161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-1,563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-2,091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-1,416</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533</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2,096</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655</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1,726</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582A73"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Malta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299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-32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201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485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562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452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671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838</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169</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-813</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-533</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-888</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Poljska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-10,023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-9,426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-9,618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-9,863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-6,067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-4,975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-8,940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-10,972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-14,500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-9,633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-14,265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-15,813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-15,688</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-9,908</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-13,675</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-14,774</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-12,307</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Rumunija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-1,805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-2,569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-2,195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-2,978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-4,276</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-5,524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-7,308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-6,503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-7,437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-3,018</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-2,535</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-1,924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-1,089</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1,651</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754</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-23</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-1,086</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Slovačka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-2,803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-3,290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-3,190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-2,467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-2,199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-2,951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-4,591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-5,703</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-6,619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-4,461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-6,239</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-6,752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-5,876</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-4,806</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-4,597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-4,251</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-3,337</w:t>
            </w:r>
          </w:p>
        </w:tc>
      </w:tr>
      <w:tr w:rsidR="00582A73" w:rsidRPr="00E91EEC" w:rsidTr="00582A73">
        <w:trPr>
          <w:trHeight w:val="227"/>
        </w:trPr>
        <w:tc>
          <w:tcPr>
            <w:tcW w:w="278" w:type="pct"/>
            <w:tcBorders>
              <w:top w:val="nil"/>
              <w:left w:val="single" w:sz="4" w:space="0" w:color="000000"/>
              <w:bottom w:val="single" w:sz="4" w:space="0" w:color="000000"/>
              <w:right w:val="single" w:sz="4" w:space="0" w:color="000000"/>
            </w:tcBorders>
            <w:shd w:val="clear" w:color="auto" w:fill="99CCFF"/>
            <w:noWrap/>
            <w:vAlign w:val="center"/>
            <w:hideMark/>
          </w:tcPr>
          <w:p w:rsidR="00582A73" w:rsidRPr="00E91EEC" w:rsidRDefault="00DE363E" w:rsidP="00582A73">
            <w:pPr>
              <w:spacing w:after="0" w:line="240" w:lineRule="auto"/>
              <w:jc w:val="both"/>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Slovenija</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110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sz w:val="16"/>
                <w:szCs w:val="20"/>
                <w:lang w:val="sr-Latn-CS"/>
              </w:rPr>
            </w:pPr>
            <w:r w:rsidRPr="00E91EEC">
              <w:rPr>
                <w:rFonts w:ascii="Times New Roman" w:eastAsia="Times New Roman" w:hAnsi="Times New Roman" w:cs="Times New Roman"/>
                <w:sz w:val="16"/>
                <w:szCs w:val="20"/>
                <w:lang w:val="sr-Latn-CS"/>
              </w:rPr>
              <w:t>461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302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154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1,030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837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837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-711</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-400</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-1,304</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-1,442</w:t>
            </w:r>
          </w:p>
        </w:tc>
        <w:tc>
          <w:tcPr>
            <w:tcW w:w="278" w:type="pct"/>
            <w:tcBorders>
              <w:top w:val="nil"/>
              <w:left w:val="nil"/>
              <w:bottom w:val="single" w:sz="4" w:space="0" w:color="000000"/>
              <w:right w:val="single" w:sz="4" w:space="0" w:color="000000"/>
            </w:tcBorders>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-717</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-1,080</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-1,199</w:t>
            </w:r>
          </w:p>
        </w:tc>
        <w:tc>
          <w:tcPr>
            <w:tcW w:w="278"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-1,152</w:t>
            </w:r>
          </w:p>
        </w:tc>
        <w:tc>
          <w:tcPr>
            <w:tcW w:w="274" w:type="pct"/>
            <w:tcBorders>
              <w:top w:val="nil"/>
              <w:left w:val="nil"/>
              <w:bottom w:val="single" w:sz="4" w:space="0" w:color="000000"/>
              <w:right w:val="single" w:sz="4"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6"/>
                <w:szCs w:val="20"/>
                <w:lang w:val="sr-Latn-CS"/>
              </w:rPr>
            </w:pPr>
            <w:r w:rsidRPr="00E91EEC">
              <w:rPr>
                <w:rFonts w:ascii="Times New Roman" w:eastAsia="Times New Roman" w:hAnsi="Times New Roman" w:cs="Times New Roman"/>
                <w:color w:val="000000"/>
                <w:sz w:val="16"/>
                <w:szCs w:val="20"/>
                <w:lang w:val="sr-Latn-CS"/>
              </w:rPr>
              <w:t>-696</w:t>
            </w:r>
          </w:p>
        </w:tc>
      </w:tr>
    </w:tbl>
    <w:p w:rsidR="00582A73" w:rsidRPr="00E91EEC" w:rsidRDefault="00435467" w:rsidP="00582A73">
      <w:pPr>
        <w:spacing w:after="0" w:line="240" w:lineRule="auto"/>
        <w:jc w:val="both"/>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hyperlink r:id="rId12" w:history="1">
        <w:r w:rsidR="00582A73" w:rsidRPr="00E91EEC">
          <w:rPr>
            <w:rFonts w:ascii="Times New Roman" w:eastAsia="Times New Roman" w:hAnsi="Times New Roman" w:cs="Times New Roman"/>
            <w:color w:val="0000FF"/>
            <w:sz w:val="20"/>
            <w:szCs w:val="20"/>
            <w:u w:val="single"/>
            <w:lang w:val="sr-Latn-CS"/>
          </w:rPr>
          <w:t>http://appsso.eurostat.ec.europa.eu/nui/show.do?dataset=ext_lt_intratrd&amp;lang=en</w:t>
        </w:r>
      </w:hyperlink>
      <w:r w:rsidR="00582A73" w:rsidRPr="00E91EEC">
        <w:rPr>
          <w:rFonts w:ascii="Times New Roman" w:eastAsia="Times New Roman" w:hAnsi="Times New Roman" w:cs="Times New Roman"/>
          <w:color w:val="0000FF"/>
          <w:sz w:val="20"/>
          <w:szCs w:val="20"/>
          <w:u w:val="single"/>
          <w:lang w:val="sr-Latn-CS"/>
        </w:rPr>
        <w:t xml:space="preserve">  </w:t>
      </w:r>
      <w:r w:rsidRPr="00E91EEC">
        <w:rPr>
          <w:rFonts w:ascii="Times New Roman" w:eastAsia="Times New Roman" w:hAnsi="Times New Roman" w:cs="Times New Roman"/>
          <w:sz w:val="20"/>
          <w:szCs w:val="20"/>
          <w:lang w:val="sr-Latn-CS"/>
        </w:rPr>
        <w:t>(pristupljeno 09.09.2017)</w:t>
      </w:r>
    </w:p>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p w:rsidR="00435467" w:rsidRPr="00E91EEC" w:rsidRDefault="00435467" w:rsidP="00582A73">
      <w:pPr>
        <w:spacing w:after="0" w:line="240" w:lineRule="auto"/>
        <w:jc w:val="both"/>
        <w:rPr>
          <w:rFonts w:ascii="Times New Roman" w:eastAsia="Times New Roman" w:hAnsi="Times New Roman" w:cs="Times New Roman"/>
          <w:sz w:val="20"/>
          <w:szCs w:val="20"/>
          <w:lang w:val="sr-Latn-CS"/>
        </w:rPr>
      </w:pPr>
    </w:p>
    <w:p w:rsidR="00435467" w:rsidRPr="00E91EEC" w:rsidRDefault="00435467" w:rsidP="00582A73">
      <w:pPr>
        <w:spacing w:after="0" w:line="240" w:lineRule="auto"/>
        <w:jc w:val="both"/>
        <w:rPr>
          <w:rFonts w:ascii="Times New Roman" w:eastAsia="Times New Roman" w:hAnsi="Times New Roman" w:cs="Times New Roman"/>
          <w:sz w:val="20"/>
          <w:szCs w:val="20"/>
          <w:lang w:val="sr-Latn-CS"/>
        </w:rPr>
      </w:pPr>
    </w:p>
    <w:p w:rsidR="00435467" w:rsidRPr="00E91EEC" w:rsidRDefault="00435467" w:rsidP="00582A73">
      <w:pPr>
        <w:spacing w:after="0" w:line="240" w:lineRule="auto"/>
        <w:jc w:val="both"/>
        <w:rPr>
          <w:rFonts w:ascii="Times New Roman" w:eastAsia="Times New Roman" w:hAnsi="Times New Roman" w:cs="Times New Roman"/>
          <w:sz w:val="20"/>
          <w:szCs w:val="20"/>
          <w:lang w:val="sr-Latn-CS"/>
        </w:rPr>
      </w:pPr>
    </w:p>
    <w:p w:rsidR="00582A73" w:rsidRPr="00E91EEC" w:rsidRDefault="006463B8" w:rsidP="00582A73">
      <w:pPr>
        <w:autoSpaceDE w:val="0"/>
        <w:autoSpaceDN w:val="0"/>
        <w:adjustRightInd w:val="0"/>
        <w:spacing w:after="0" w:line="240" w:lineRule="auto"/>
        <w:jc w:val="both"/>
        <w:rPr>
          <w:rFonts w:ascii="Times New Roman" w:eastAsia="Times New Roman" w:hAnsi="Times New Roman" w:cs="Times New Roman"/>
          <w:szCs w:val="20"/>
          <w:lang w:val="sr-Latn-CS"/>
        </w:rPr>
      </w:pPr>
      <w:r w:rsidRPr="00E91EEC">
        <w:rPr>
          <w:rFonts w:ascii="Times New Roman" w:eastAsia="Times New Roman" w:hAnsi="Times New Roman" w:cs="Times New Roman"/>
          <w:szCs w:val="20"/>
          <w:lang w:val="sr-Latn-CS"/>
        </w:rPr>
        <w:t>Tabela 5. SDI priliv u EU i istočne zemlje članice, u milionima eura, 2000-2015.</w:t>
      </w:r>
    </w:p>
    <w:tbl>
      <w:tblPr>
        <w:tblW w:w="5000" w:type="pct"/>
        <w:jc w:val="right"/>
        <w:tblCellMar>
          <w:left w:w="57" w:type="dxa"/>
          <w:right w:w="57" w:type="dxa"/>
        </w:tblCellMar>
        <w:tblLook w:val="04A0"/>
      </w:tblPr>
      <w:tblGrid>
        <w:gridCol w:w="1577"/>
        <w:gridCol w:w="926"/>
        <w:gridCol w:w="926"/>
        <w:gridCol w:w="926"/>
        <w:gridCol w:w="926"/>
        <w:gridCol w:w="926"/>
        <w:gridCol w:w="32"/>
        <w:gridCol w:w="826"/>
        <w:gridCol w:w="873"/>
        <w:gridCol w:w="929"/>
        <w:gridCol w:w="929"/>
        <w:gridCol w:w="929"/>
        <w:gridCol w:w="849"/>
        <w:gridCol w:w="64"/>
        <w:gridCol w:w="877"/>
        <w:gridCol w:w="930"/>
        <w:gridCol w:w="706"/>
        <w:gridCol w:w="706"/>
        <w:gridCol w:w="706"/>
      </w:tblGrid>
      <w:tr w:rsidR="00582A73" w:rsidRPr="00E91EEC" w:rsidTr="00435467">
        <w:trPr>
          <w:trHeight w:val="227"/>
          <w:jc w:val="right"/>
        </w:trPr>
        <w:tc>
          <w:tcPr>
            <w:tcW w:w="498" w:type="pct"/>
            <w:tcBorders>
              <w:top w:val="single" w:sz="8" w:space="0" w:color="000000"/>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Country/Year</w:t>
            </w:r>
          </w:p>
        </w:tc>
        <w:tc>
          <w:tcPr>
            <w:tcW w:w="298" w:type="pct"/>
            <w:tcBorders>
              <w:top w:val="single" w:sz="8" w:space="0" w:color="000000"/>
              <w:left w:val="nil"/>
              <w:bottom w:val="single" w:sz="8" w:space="0" w:color="auto"/>
              <w:right w:val="single" w:sz="8" w:space="0" w:color="000000"/>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2000</w:t>
            </w:r>
          </w:p>
        </w:tc>
        <w:tc>
          <w:tcPr>
            <w:tcW w:w="298" w:type="pct"/>
            <w:tcBorders>
              <w:top w:val="single" w:sz="8" w:space="0" w:color="000000"/>
              <w:left w:val="nil"/>
              <w:bottom w:val="single" w:sz="8" w:space="0" w:color="auto"/>
              <w:right w:val="single" w:sz="8" w:space="0" w:color="000000"/>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2001</w:t>
            </w:r>
          </w:p>
        </w:tc>
        <w:tc>
          <w:tcPr>
            <w:tcW w:w="298" w:type="pct"/>
            <w:tcBorders>
              <w:top w:val="single" w:sz="8" w:space="0" w:color="000000"/>
              <w:left w:val="nil"/>
              <w:bottom w:val="single" w:sz="8" w:space="0" w:color="auto"/>
              <w:right w:val="single" w:sz="4" w:space="0" w:color="auto"/>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2002</w:t>
            </w:r>
          </w:p>
        </w:tc>
        <w:tc>
          <w:tcPr>
            <w:tcW w:w="298"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2003</w:t>
            </w:r>
          </w:p>
        </w:tc>
        <w:tc>
          <w:tcPr>
            <w:tcW w:w="309" w:type="pct"/>
            <w:gridSpan w:val="2"/>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2004</w:t>
            </w:r>
          </w:p>
        </w:tc>
        <w:tc>
          <w:tcPr>
            <w:tcW w:w="266"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2005</w:t>
            </w:r>
          </w:p>
        </w:tc>
        <w:tc>
          <w:tcPr>
            <w:tcW w:w="281"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2006</w:t>
            </w:r>
          </w:p>
        </w:tc>
        <w:tc>
          <w:tcPr>
            <w:tcW w:w="299"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2007</w:t>
            </w:r>
          </w:p>
        </w:tc>
        <w:tc>
          <w:tcPr>
            <w:tcW w:w="299"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2008</w:t>
            </w:r>
          </w:p>
        </w:tc>
        <w:tc>
          <w:tcPr>
            <w:tcW w:w="299"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2009</w:t>
            </w:r>
          </w:p>
        </w:tc>
        <w:tc>
          <w:tcPr>
            <w:tcW w:w="273"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2010</w:t>
            </w:r>
          </w:p>
        </w:tc>
        <w:tc>
          <w:tcPr>
            <w:tcW w:w="303" w:type="pct"/>
            <w:gridSpan w:val="2"/>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2011</w:t>
            </w:r>
          </w:p>
        </w:tc>
        <w:tc>
          <w:tcPr>
            <w:tcW w:w="299"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2012</w:t>
            </w:r>
          </w:p>
        </w:tc>
        <w:tc>
          <w:tcPr>
            <w:tcW w:w="22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2013</w:t>
            </w:r>
          </w:p>
        </w:tc>
        <w:tc>
          <w:tcPr>
            <w:tcW w:w="22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2014</w:t>
            </w:r>
          </w:p>
        </w:tc>
        <w:tc>
          <w:tcPr>
            <w:tcW w:w="22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2015</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582A73"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EU (28)</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585,832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513,572</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483,640</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910,382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506,038</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855,255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351,135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791,779</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Bugarska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1,086</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774</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649</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1,857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2,739</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3,152</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6,222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9,052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6,728</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2,437</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1,151</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1,330</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1,142</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1,247</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1,161</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1,693</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Hrvatska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1,136</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1,489</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1,091</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1,793</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866</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1,414</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2,673</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3,637</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3,245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2,420</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286</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1,073</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1,057</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658</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2,213</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201</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Kipar</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931</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1,055</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1,123</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791</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878</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954</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1,462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1,626</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965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2,499</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578</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1,715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979</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-4,892</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555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6,658</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Češka Republika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5,498</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6,299</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9,015</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1,863</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4,009</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9,374</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4,355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7,633</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4,415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2,111</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4,638</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1,668</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6,215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2,741</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4,454</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1,103</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Estonija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425</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603</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822</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771</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2,307</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1,432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1,985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1,182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1,324</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1,208</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237</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1,051</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565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117</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Mađarska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1,785</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4,395</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3,177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1,890</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3,630</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6,203</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5,868</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2,886</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4,329</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1,440</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1,662</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4,204</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10,716</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-2,024</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6,624</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-22,618</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Letonija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148</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270</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272</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517</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573</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1,339</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1,704</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862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67</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284</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1,041</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871</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590</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600</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Litvanija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410</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498</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771</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160</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623</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826</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1,448</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1,473</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1,341</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604</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1,040</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545</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353</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785</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582A73"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Malta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674</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314</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-452</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847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317</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544</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1,467</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735</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642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287</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702</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182</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10,803</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9,063</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8,431</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4,130</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Poljska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10,133</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6,377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4,368</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4,301</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10,382</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8,265</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15,578</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17,221</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10,059</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9,835</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10,473</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14,829</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4,716</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2,059</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10,343</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11,406</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Rumunija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1,147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1,294</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1,212</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1,946</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5,182</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5,215</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9,034</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7,254</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9,496</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3,486</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2,219</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1,814</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2,137</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2,713</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3,461</w:t>
            </w:r>
          </w:p>
        </w:tc>
      </w:tr>
      <w:tr w:rsidR="00582A73" w:rsidRPr="00E91EEC" w:rsidTr="00435467">
        <w:trPr>
          <w:trHeight w:val="227"/>
          <w:jc w:val="right"/>
        </w:trPr>
        <w:tc>
          <w:tcPr>
            <w:tcW w:w="498" w:type="pct"/>
            <w:tcBorders>
              <w:top w:val="nil"/>
              <w:left w:val="single" w:sz="8" w:space="0" w:color="000000"/>
              <w:bottom w:val="single" w:sz="8" w:space="0" w:color="auto"/>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Slovačka</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2,311</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1,649</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4,037</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1,914</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2,442</w:t>
            </w:r>
          </w:p>
        </w:tc>
        <w:tc>
          <w:tcPr>
            <w:tcW w:w="27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1,952</w:t>
            </w:r>
          </w:p>
        </w:tc>
        <w:tc>
          <w:tcPr>
            <w:tcW w:w="2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3,732</w:t>
            </w:r>
          </w:p>
        </w:tc>
        <w:tc>
          <w:tcPr>
            <w:tcW w:w="2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2,618</w:t>
            </w:r>
          </w:p>
        </w:tc>
        <w:tc>
          <w:tcPr>
            <w:tcW w:w="2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3,203</w:t>
            </w:r>
          </w:p>
        </w:tc>
        <w:tc>
          <w:tcPr>
            <w:tcW w:w="2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w:t>
            </w:r>
          </w:p>
        </w:tc>
        <w:tc>
          <w:tcPr>
            <w:tcW w:w="294"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1,336</w:t>
            </w:r>
          </w:p>
        </w:tc>
        <w:tc>
          <w:tcPr>
            <w:tcW w:w="28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2,511</w:t>
            </w:r>
          </w:p>
        </w:tc>
        <w:tc>
          <w:tcPr>
            <w:tcW w:w="2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2,321</w:t>
            </w:r>
          </w:p>
        </w:tc>
        <w:tc>
          <w:tcPr>
            <w:tcW w:w="227" w:type="pct"/>
            <w:tcBorders>
              <w:top w:val="nil"/>
              <w:left w:val="nil"/>
              <w:bottom w:val="single" w:sz="8" w:space="0" w:color="auto"/>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27" w:type="pct"/>
            <w:tcBorders>
              <w:top w:val="nil"/>
              <w:left w:val="nil"/>
              <w:bottom w:val="single" w:sz="8" w:space="0" w:color="auto"/>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-250</w:t>
            </w:r>
          </w:p>
        </w:tc>
        <w:tc>
          <w:tcPr>
            <w:tcW w:w="227" w:type="pct"/>
            <w:tcBorders>
              <w:top w:val="nil"/>
              <w:left w:val="nil"/>
              <w:bottom w:val="single" w:sz="8" w:space="0" w:color="auto"/>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-176</w:t>
            </w:r>
          </w:p>
        </w:tc>
      </w:tr>
      <w:tr w:rsidR="00582A73" w:rsidRPr="00E91EEC" w:rsidTr="00435467">
        <w:trPr>
          <w:trHeight w:val="227"/>
          <w:jc w:val="right"/>
        </w:trPr>
        <w:tc>
          <w:tcPr>
            <w:tcW w:w="498"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jc w:val="both"/>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Slovenija</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303</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947</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935</w:t>
            </w:r>
          </w:p>
        </w:tc>
        <w:tc>
          <w:tcPr>
            <w:tcW w:w="298"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562</w:t>
            </w:r>
          </w:p>
        </w:tc>
        <w:tc>
          <w:tcPr>
            <w:tcW w:w="277"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662</w:t>
            </w:r>
          </w:p>
        </w:tc>
        <w:tc>
          <w:tcPr>
            <w:tcW w:w="281"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504</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1,309</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1,330</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-474</w:t>
            </w:r>
          </w:p>
        </w:tc>
        <w:tc>
          <w:tcPr>
            <w:tcW w:w="294" w:type="pct"/>
            <w:gridSpan w:val="2"/>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272</w:t>
            </w:r>
          </w:p>
        </w:tc>
        <w:tc>
          <w:tcPr>
            <w:tcW w:w="282"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718</w:t>
            </w:r>
          </w:p>
        </w:tc>
        <w:tc>
          <w:tcPr>
            <w:tcW w:w="2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-58</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-114</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791</w:t>
            </w:r>
          </w:p>
        </w:tc>
        <w:tc>
          <w:tcPr>
            <w:tcW w:w="227" w:type="pct"/>
            <w:tcBorders>
              <w:top w:val="nil"/>
              <w:left w:val="nil"/>
              <w:bottom w:val="single" w:sz="8" w:space="0" w:color="000000"/>
              <w:right w:val="single" w:sz="8" w:space="0" w:color="auto"/>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1,465</w:t>
            </w:r>
          </w:p>
        </w:tc>
      </w:tr>
    </w:tbl>
    <w:p w:rsidR="00582A73" w:rsidRPr="00E91EEC" w:rsidRDefault="00435467"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hyperlink r:id="rId13" w:history="1">
        <w:r w:rsidR="00582A73" w:rsidRPr="00E91EEC">
          <w:rPr>
            <w:rFonts w:ascii="Times New Roman" w:eastAsia="Times New Roman" w:hAnsi="Times New Roman" w:cs="Times New Roman"/>
            <w:color w:val="0000FF"/>
            <w:sz w:val="20"/>
            <w:szCs w:val="20"/>
            <w:u w:val="single"/>
            <w:lang w:val="sr-Latn-CS"/>
          </w:rPr>
          <w:t>http://appsso.eurostat.ec.europa.eu/nui/show.do</w:t>
        </w:r>
      </w:hyperlink>
      <w:r w:rsidR="00582A73" w:rsidRPr="00E91EEC">
        <w:rPr>
          <w:rFonts w:ascii="Times New Roman" w:eastAsia="Times New Roman" w:hAnsi="Times New Roman" w:cs="Times New Roman"/>
          <w:sz w:val="20"/>
          <w:szCs w:val="20"/>
          <w:lang w:val="sr-Latn-CS"/>
        </w:rPr>
        <w:t xml:space="preserve"> </w:t>
      </w:r>
      <w:r w:rsidRPr="00E91EEC">
        <w:rPr>
          <w:rFonts w:ascii="Times New Roman" w:eastAsia="Times New Roman" w:hAnsi="Times New Roman" w:cs="Times New Roman"/>
          <w:sz w:val="20"/>
          <w:szCs w:val="20"/>
          <w:lang w:val="sr-Latn-CS"/>
        </w:rPr>
        <w:t>(pristupljeno 09.09.2017)</w:t>
      </w:r>
      <w:r w:rsidR="00582A73" w:rsidRPr="00E91EEC">
        <w:rPr>
          <w:rFonts w:ascii="Times New Roman" w:eastAsia="Times New Roman" w:hAnsi="Times New Roman" w:cs="Times New Roman"/>
          <w:sz w:val="20"/>
          <w:szCs w:val="20"/>
          <w:lang w:val="sr-Latn-CS"/>
        </w:rPr>
        <w:t xml:space="preserve">; </w:t>
      </w:r>
      <w:r w:rsidR="006463B8" w:rsidRPr="00E91EEC">
        <w:rPr>
          <w:rFonts w:ascii="Times New Roman" w:eastAsia="Times New Roman" w:hAnsi="Times New Roman" w:cs="Times New Roman"/>
          <w:sz w:val="20"/>
          <w:szCs w:val="20"/>
          <w:lang w:val="sr-Latn-CS"/>
        </w:rPr>
        <w:t xml:space="preserve">Napomena: brojevi za period </w:t>
      </w:r>
      <w:r w:rsidR="00582A73" w:rsidRPr="00E91EEC">
        <w:rPr>
          <w:rFonts w:ascii="Times New Roman" w:eastAsia="Times New Roman" w:hAnsi="Times New Roman" w:cs="Times New Roman"/>
          <w:sz w:val="20"/>
          <w:szCs w:val="20"/>
          <w:lang w:val="sr-Latn-CS"/>
        </w:rPr>
        <w:t xml:space="preserve">2013–2015 </w:t>
      </w:r>
      <w:r w:rsidR="006463B8" w:rsidRPr="00E91EEC">
        <w:rPr>
          <w:rFonts w:ascii="Times New Roman" w:eastAsia="Times New Roman" w:hAnsi="Times New Roman" w:cs="Times New Roman"/>
          <w:sz w:val="20"/>
          <w:szCs w:val="20"/>
          <w:lang w:val="sr-Latn-CS"/>
        </w:rPr>
        <w:t xml:space="preserve">su zasnovani na novim metodološkim standardima </w:t>
      </w:r>
      <w:r w:rsidR="00582A73" w:rsidRPr="00E91EEC">
        <w:rPr>
          <w:rFonts w:ascii="Times New Roman" w:eastAsia="Times New Roman" w:hAnsi="Times New Roman" w:cs="Times New Roman"/>
          <w:sz w:val="20"/>
          <w:szCs w:val="20"/>
          <w:lang w:val="sr-Latn-CS"/>
        </w:rPr>
        <w:t>— Balance of Payments Manual, 6th edition (BPM6), and Benchmark Definitio</w:t>
      </w:r>
      <w:r w:rsidR="006463B8" w:rsidRPr="00E91EEC">
        <w:rPr>
          <w:rFonts w:ascii="Times New Roman" w:eastAsia="Times New Roman" w:hAnsi="Times New Roman" w:cs="Times New Roman"/>
          <w:sz w:val="20"/>
          <w:szCs w:val="20"/>
          <w:lang w:val="sr-Latn-CS"/>
        </w:rPr>
        <w:t xml:space="preserve">n of FDI, 4th edition (BD4). Zbog navedenog, statistički pokazatelji nakon 2013. godine nisu direktno uporedivi sa  pokazateljima iz prethodnog perioda. </w:t>
      </w:r>
    </w:p>
    <w:p w:rsidR="006463B8" w:rsidRPr="00E91EEC" w:rsidRDefault="006463B8"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8B5096" w:rsidRPr="00E91EEC" w:rsidRDefault="008B5096" w:rsidP="00582A73">
      <w:pPr>
        <w:spacing w:after="0" w:line="240" w:lineRule="auto"/>
        <w:jc w:val="both"/>
        <w:rPr>
          <w:rFonts w:ascii="Times New Roman" w:eastAsia="Times New Roman" w:hAnsi="Times New Roman" w:cs="Times New Roman"/>
          <w:sz w:val="20"/>
          <w:szCs w:val="20"/>
          <w:lang w:val="sr-Latn-CS"/>
        </w:rPr>
      </w:pPr>
    </w:p>
    <w:p w:rsidR="00582A73" w:rsidRPr="00E91EEC" w:rsidRDefault="006463B8" w:rsidP="006463B8">
      <w:pPr>
        <w:spacing w:after="0" w:line="240" w:lineRule="auto"/>
        <w:jc w:val="both"/>
        <w:rPr>
          <w:rFonts w:ascii="Times New Roman" w:eastAsia="Times New Roman" w:hAnsi="Times New Roman" w:cs="Times New Roman"/>
          <w:lang w:val="sr-Latn-CS"/>
        </w:rPr>
      </w:pPr>
      <w:r w:rsidRPr="00E91EEC">
        <w:rPr>
          <w:rFonts w:ascii="Times New Roman" w:eastAsia="Times New Roman" w:hAnsi="Times New Roman" w:cs="Times New Roman"/>
          <w:lang w:val="sr-Latn-CS"/>
        </w:rPr>
        <w:lastRenderedPageBreak/>
        <w:t>Tabela 6. SDI odliv iz EU i istočne zemlje članice, u milionima eura, 2000-2015.</w:t>
      </w:r>
    </w:p>
    <w:tbl>
      <w:tblPr>
        <w:tblW w:w="5000" w:type="pct"/>
        <w:tblCellMar>
          <w:left w:w="57" w:type="dxa"/>
          <w:right w:w="57" w:type="dxa"/>
        </w:tblCellMar>
        <w:tblLook w:val="04A0"/>
      </w:tblPr>
      <w:tblGrid>
        <w:gridCol w:w="1604"/>
        <w:gridCol w:w="785"/>
        <w:gridCol w:w="785"/>
        <w:gridCol w:w="817"/>
        <w:gridCol w:w="1000"/>
        <w:gridCol w:w="763"/>
        <w:gridCol w:w="791"/>
        <w:gridCol w:w="791"/>
        <w:gridCol w:w="887"/>
        <w:gridCol w:w="924"/>
        <w:gridCol w:w="924"/>
        <w:gridCol w:w="924"/>
        <w:gridCol w:w="924"/>
        <w:gridCol w:w="956"/>
        <w:gridCol w:w="896"/>
        <w:gridCol w:w="896"/>
        <w:gridCol w:w="896"/>
      </w:tblGrid>
      <w:tr w:rsidR="00582A73" w:rsidRPr="00E91EEC" w:rsidTr="00435467">
        <w:trPr>
          <w:trHeight w:val="227"/>
        </w:trPr>
        <w:tc>
          <w:tcPr>
            <w:tcW w:w="515" w:type="pct"/>
            <w:tcBorders>
              <w:top w:val="single" w:sz="8" w:space="0" w:color="000000"/>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  Country/Year</w:t>
            </w:r>
          </w:p>
        </w:tc>
        <w:tc>
          <w:tcPr>
            <w:tcW w:w="252" w:type="pct"/>
            <w:tcBorders>
              <w:top w:val="single" w:sz="8" w:space="0" w:color="000000"/>
              <w:left w:val="nil"/>
              <w:bottom w:val="single" w:sz="8" w:space="0" w:color="auto"/>
              <w:right w:val="single" w:sz="8" w:space="0" w:color="000000"/>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2000</w:t>
            </w:r>
          </w:p>
        </w:tc>
        <w:tc>
          <w:tcPr>
            <w:tcW w:w="252" w:type="pct"/>
            <w:tcBorders>
              <w:top w:val="single" w:sz="8" w:space="0" w:color="000000"/>
              <w:left w:val="nil"/>
              <w:bottom w:val="single" w:sz="8" w:space="0" w:color="auto"/>
              <w:right w:val="single" w:sz="4" w:space="0" w:color="auto"/>
            </w:tcBorders>
            <w:shd w:val="clear" w:color="auto" w:fill="99CCFF"/>
            <w:noWrap/>
            <w:tcMar>
              <w:top w:w="0" w:type="dxa"/>
              <w:left w:w="108" w:type="dxa"/>
              <w:bottom w:w="0" w:type="dxa"/>
              <w:right w:w="108" w:type="dxa"/>
            </w:tcMar>
            <w:vAlign w:val="center"/>
            <w:hideMark/>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2001</w:t>
            </w:r>
          </w:p>
        </w:tc>
        <w:tc>
          <w:tcPr>
            <w:tcW w:w="262" w:type="pct"/>
            <w:tcBorders>
              <w:top w:val="single" w:sz="8" w:space="0" w:color="000000"/>
              <w:left w:val="nil"/>
              <w:bottom w:val="single" w:sz="8"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273"/>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2002</w:t>
            </w:r>
          </w:p>
        </w:tc>
        <w:tc>
          <w:tcPr>
            <w:tcW w:w="321" w:type="pct"/>
            <w:tcBorders>
              <w:top w:val="single" w:sz="8" w:space="0" w:color="000000"/>
              <w:left w:val="nil"/>
              <w:bottom w:val="single" w:sz="8"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456"/>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2003</w:t>
            </w:r>
          </w:p>
        </w:tc>
        <w:tc>
          <w:tcPr>
            <w:tcW w:w="245"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2004</w:t>
            </w:r>
          </w:p>
        </w:tc>
        <w:tc>
          <w:tcPr>
            <w:tcW w:w="254"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2005</w:t>
            </w:r>
          </w:p>
        </w:tc>
        <w:tc>
          <w:tcPr>
            <w:tcW w:w="254"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2006</w:t>
            </w:r>
          </w:p>
        </w:tc>
        <w:tc>
          <w:tcPr>
            <w:tcW w:w="285"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2007</w:t>
            </w:r>
          </w:p>
        </w:tc>
        <w:tc>
          <w:tcPr>
            <w:tcW w:w="29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93"/>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2008</w:t>
            </w:r>
          </w:p>
        </w:tc>
        <w:tc>
          <w:tcPr>
            <w:tcW w:w="29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2009</w:t>
            </w:r>
          </w:p>
        </w:tc>
        <w:tc>
          <w:tcPr>
            <w:tcW w:w="29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 xml:space="preserve">      2010</w:t>
            </w:r>
          </w:p>
        </w:tc>
        <w:tc>
          <w:tcPr>
            <w:tcW w:w="29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138"/>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2011</w:t>
            </w:r>
          </w:p>
        </w:tc>
        <w:tc>
          <w:tcPr>
            <w:tcW w:w="307"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411"/>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2012</w:t>
            </w:r>
          </w:p>
        </w:tc>
        <w:tc>
          <w:tcPr>
            <w:tcW w:w="288"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411"/>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2013</w:t>
            </w:r>
          </w:p>
        </w:tc>
        <w:tc>
          <w:tcPr>
            <w:tcW w:w="288"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411"/>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2014</w:t>
            </w:r>
          </w:p>
        </w:tc>
        <w:tc>
          <w:tcPr>
            <w:tcW w:w="288" w:type="pct"/>
            <w:tcBorders>
              <w:top w:val="single" w:sz="4" w:space="0" w:color="auto"/>
              <w:left w:val="single" w:sz="4" w:space="0" w:color="auto"/>
              <w:bottom w:val="single" w:sz="4" w:space="0" w:color="auto"/>
              <w:right w:val="single" w:sz="4" w:space="0" w:color="auto"/>
            </w:tcBorders>
            <w:shd w:val="clear" w:color="auto" w:fill="99CCFF"/>
            <w:vAlign w:val="center"/>
          </w:tcPr>
          <w:p w:rsidR="00582A73" w:rsidRPr="00E91EEC" w:rsidRDefault="00582A73" w:rsidP="00582A73">
            <w:pPr>
              <w:spacing w:before="100" w:beforeAutospacing="1" w:after="100" w:afterAutospacing="1" w:line="240" w:lineRule="auto"/>
              <w:ind w:left="411"/>
              <w:jc w:val="right"/>
              <w:rPr>
                <w:rFonts w:ascii="Times New Roman" w:eastAsia="Times New Roman" w:hAnsi="Times New Roman" w:cs="Times New Roman"/>
                <w:sz w:val="18"/>
                <w:szCs w:val="20"/>
                <w:lang w:val="sr-Latn-CS" w:eastAsia="en-GB"/>
              </w:rPr>
            </w:pPr>
            <w:r w:rsidRPr="00E91EEC">
              <w:rPr>
                <w:rFonts w:ascii="Times New Roman" w:eastAsia="Times New Roman" w:hAnsi="Times New Roman" w:cs="Times New Roman"/>
                <w:sz w:val="18"/>
                <w:szCs w:val="20"/>
                <w:lang w:val="sr-Latn-CS" w:eastAsia="en-GB"/>
              </w:rPr>
              <w:t>2015</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582A73"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EU (28)</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5"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97"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919,601</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609,479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574,426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967,643</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487,907</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802,877</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324,955</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945,335</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Bugarska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-166</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249</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141</w:t>
            </w:r>
          </w:p>
        </w:tc>
        <w:tc>
          <w:tcPr>
            <w:tcW w:w="285"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206</w:t>
            </w:r>
          </w:p>
        </w:tc>
        <w:tc>
          <w:tcPr>
            <w:tcW w:w="297"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522</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-68</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118</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270</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160</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279</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97</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Hrvatska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168</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599</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107</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277</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191</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174</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181</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133</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886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-121</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25</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-73</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-124</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1,448</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Kipar</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187</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279</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550</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508</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559</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449</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707</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1,855</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513</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1,583</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-219</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-5,196</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-842</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15,187</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Češka Republika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185</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219</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183</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817</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1,170</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1,184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2,958</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685</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881</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-236</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1,394</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3,028</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-399</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2,079</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Estonija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67</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225</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140</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137</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217</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556</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882</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1,276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760</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1,114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107</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-1,037</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813</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381</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-120</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291</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Mađarska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612</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411</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295</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1,454</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901</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1,775</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3,087</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2,646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1,529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1,359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866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3,362</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8,668</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-2,069</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3,815</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-24,394</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Letonija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89</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103</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138</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271</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167</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151</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218</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Litvanija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34</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212</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278</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232</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437</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142</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40</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305</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145</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77</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582A73"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Malta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486</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311</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1,987</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1,993</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1,788</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-4,717</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Poljska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-98</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243</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266</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729</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2,738</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7,060</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3,927</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2,996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3,753</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5,455</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5,865</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557</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-1,014</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2,320</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2,145</w:t>
            </w:r>
          </w:p>
        </w:tc>
      </w:tr>
      <w:tr w:rsidR="00582A73" w:rsidRPr="00E91EEC" w:rsidTr="00435467">
        <w:trPr>
          <w:trHeight w:val="227"/>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Rumunija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337</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204</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188</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-62</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-89</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-211</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-282</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507</w:t>
            </w:r>
          </w:p>
        </w:tc>
      </w:tr>
      <w:tr w:rsidR="00582A73" w:rsidRPr="00E91EEC" w:rsidTr="00435467">
        <w:trPr>
          <w:trHeight w:val="285"/>
        </w:trPr>
        <w:tc>
          <w:tcPr>
            <w:tcW w:w="515" w:type="pct"/>
            <w:tcBorders>
              <w:top w:val="nil"/>
              <w:left w:val="single" w:sz="8" w:space="0" w:color="000000"/>
              <w:bottom w:val="single" w:sz="8" w:space="0" w:color="auto"/>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Slovačka</w:t>
            </w:r>
          </w:p>
        </w:tc>
        <w:tc>
          <w:tcPr>
            <w:tcW w:w="25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w:t>
            </w:r>
          </w:p>
        </w:tc>
        <w:tc>
          <w:tcPr>
            <w:tcW w:w="25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72</w:t>
            </w:r>
          </w:p>
        </w:tc>
        <w:tc>
          <w:tcPr>
            <w:tcW w:w="26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219</w:t>
            </w:r>
          </w:p>
        </w:tc>
        <w:tc>
          <w:tcPr>
            <w:tcW w:w="24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w:t>
            </w:r>
          </w:p>
        </w:tc>
        <w:tc>
          <w:tcPr>
            <w:tcW w:w="254"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120</w:t>
            </w:r>
          </w:p>
        </w:tc>
        <w:tc>
          <w:tcPr>
            <w:tcW w:w="254"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408</w:t>
            </w:r>
          </w:p>
        </w:tc>
        <w:tc>
          <w:tcPr>
            <w:tcW w:w="285"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438</w:t>
            </w:r>
          </w:p>
        </w:tc>
        <w:tc>
          <w:tcPr>
            <w:tcW w:w="297"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362</w:t>
            </w:r>
          </w:p>
        </w:tc>
        <w:tc>
          <w:tcPr>
            <w:tcW w:w="297"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651</w:t>
            </w:r>
          </w:p>
        </w:tc>
        <w:tc>
          <w:tcPr>
            <w:tcW w:w="297"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714</w:t>
            </w:r>
          </w:p>
        </w:tc>
        <w:tc>
          <w:tcPr>
            <w:tcW w:w="297"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513</w:t>
            </w:r>
          </w:p>
        </w:tc>
        <w:tc>
          <w:tcPr>
            <w:tcW w:w="307"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w:t>
            </w:r>
          </w:p>
        </w:tc>
        <w:tc>
          <w:tcPr>
            <w:tcW w:w="288" w:type="pct"/>
            <w:tcBorders>
              <w:top w:val="nil"/>
              <w:left w:val="nil"/>
              <w:bottom w:val="single" w:sz="8" w:space="0" w:color="auto"/>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8" w:type="pct"/>
            <w:tcBorders>
              <w:top w:val="nil"/>
              <w:left w:val="nil"/>
              <w:bottom w:val="single" w:sz="8" w:space="0" w:color="auto"/>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-93</w:t>
            </w:r>
          </w:p>
        </w:tc>
        <w:tc>
          <w:tcPr>
            <w:tcW w:w="288" w:type="pct"/>
            <w:tcBorders>
              <w:top w:val="nil"/>
              <w:left w:val="nil"/>
              <w:bottom w:val="single" w:sz="8" w:space="0" w:color="auto"/>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-165</w:t>
            </w:r>
          </w:p>
        </w:tc>
      </w:tr>
      <w:tr w:rsidR="00582A73" w:rsidRPr="00E91EEC" w:rsidTr="00435467">
        <w:trPr>
          <w:trHeight w:val="285"/>
        </w:trPr>
        <w:tc>
          <w:tcPr>
            <w:tcW w:w="515" w:type="pct"/>
            <w:tcBorders>
              <w:top w:val="nil"/>
              <w:left w:val="single" w:sz="8" w:space="0" w:color="000000"/>
              <w:bottom w:val="single" w:sz="8" w:space="0" w:color="000000"/>
              <w:right w:val="single" w:sz="8" w:space="0" w:color="000000"/>
            </w:tcBorders>
            <w:shd w:val="clear" w:color="auto" w:fill="99CCFF"/>
            <w:noWrap/>
            <w:tcMar>
              <w:top w:w="0" w:type="dxa"/>
              <w:left w:w="108" w:type="dxa"/>
              <w:bottom w:w="0" w:type="dxa"/>
              <w:right w:w="108" w:type="dxa"/>
            </w:tcMar>
            <w:vAlign w:val="bottom"/>
            <w:hideMark/>
          </w:tcPr>
          <w:p w:rsidR="00582A73" w:rsidRPr="00E91EEC" w:rsidRDefault="00DE363E" w:rsidP="00582A73">
            <w:pPr>
              <w:spacing w:before="100" w:beforeAutospacing="1" w:after="100" w:afterAutospacing="1" w:line="240" w:lineRule="auto"/>
              <w:rPr>
                <w:rFonts w:ascii="Times New Roman" w:eastAsia="Times New Roman" w:hAnsi="Times New Roman" w:cs="Times New Roman"/>
                <w:sz w:val="20"/>
                <w:szCs w:val="20"/>
                <w:lang w:val="sr-Latn-CS" w:eastAsia="en-GB"/>
              </w:rPr>
            </w:pPr>
            <w:r w:rsidRPr="00E91EEC">
              <w:rPr>
                <w:rFonts w:ascii="Times New Roman" w:eastAsia="Times New Roman" w:hAnsi="Times New Roman" w:cs="Times New Roman"/>
                <w:sz w:val="20"/>
                <w:szCs w:val="20"/>
                <w:lang w:val="sr-Latn-CS" w:eastAsia="en-GB"/>
              </w:rPr>
              <w:t>Slovenija</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299</w:t>
            </w:r>
          </w:p>
        </w:tc>
        <w:tc>
          <w:tcPr>
            <w:tcW w:w="2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196</w:t>
            </w:r>
          </w:p>
        </w:tc>
        <w:tc>
          <w:tcPr>
            <w:tcW w:w="3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456</w:t>
            </w:r>
          </w:p>
        </w:tc>
        <w:tc>
          <w:tcPr>
            <w:tcW w:w="2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376</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535</w:t>
            </w:r>
          </w:p>
        </w:tc>
        <w:tc>
          <w:tcPr>
            <w:tcW w:w="2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748</w:t>
            </w:r>
          </w:p>
        </w:tc>
        <w:tc>
          <w:tcPr>
            <w:tcW w:w="2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1,465</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1,002</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189</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-156</w:t>
            </w:r>
          </w:p>
        </w:tc>
        <w:tc>
          <w:tcPr>
            <w:tcW w:w="2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85</w:t>
            </w:r>
          </w:p>
        </w:tc>
        <w:tc>
          <w:tcPr>
            <w:tcW w:w="30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-226</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-161</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207</w:t>
            </w:r>
          </w:p>
        </w:tc>
        <w:tc>
          <w:tcPr>
            <w:tcW w:w="288" w:type="pct"/>
            <w:tcBorders>
              <w:top w:val="nil"/>
              <w:left w:val="nil"/>
              <w:bottom w:val="single" w:sz="8" w:space="0" w:color="000000"/>
              <w:right w:val="single" w:sz="8" w:space="0" w:color="000000"/>
            </w:tcBorders>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227</w:t>
            </w:r>
          </w:p>
        </w:tc>
      </w:tr>
    </w:tbl>
    <w:p w:rsidR="006463B8" w:rsidRPr="00E91EEC" w:rsidRDefault="00435467" w:rsidP="006463B8">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hyperlink r:id="rId14" w:history="1">
        <w:r w:rsidR="00582A73" w:rsidRPr="00E91EEC">
          <w:rPr>
            <w:rFonts w:ascii="Times New Roman" w:eastAsia="Times New Roman" w:hAnsi="Times New Roman" w:cs="Times New Roman"/>
            <w:color w:val="0000FF"/>
            <w:sz w:val="20"/>
            <w:szCs w:val="20"/>
            <w:u w:val="single"/>
            <w:lang w:val="sr-Latn-CS"/>
          </w:rPr>
          <w:t>http://appsso.eurostat.ec.europa.eu/nui/show.do</w:t>
        </w:r>
      </w:hyperlink>
      <w:r w:rsidR="00582A73" w:rsidRPr="00E91EEC">
        <w:rPr>
          <w:rFonts w:ascii="Times New Roman" w:eastAsia="Times New Roman" w:hAnsi="Times New Roman" w:cs="Times New Roman"/>
          <w:sz w:val="20"/>
          <w:szCs w:val="20"/>
          <w:lang w:val="sr-Latn-CS"/>
        </w:rPr>
        <w:t xml:space="preserve"> </w:t>
      </w:r>
      <w:r w:rsidRPr="00E91EEC">
        <w:rPr>
          <w:rFonts w:ascii="Times New Roman" w:eastAsia="Times New Roman" w:hAnsi="Times New Roman" w:cs="Times New Roman"/>
          <w:sz w:val="20"/>
          <w:szCs w:val="20"/>
          <w:lang w:val="sr-Latn-CS"/>
        </w:rPr>
        <w:t xml:space="preserve">(pristupljeno 09.09.2017) </w:t>
      </w:r>
      <w:r w:rsidR="006463B8" w:rsidRPr="00E91EEC">
        <w:rPr>
          <w:rFonts w:ascii="Times New Roman" w:eastAsia="Times New Roman" w:hAnsi="Times New Roman" w:cs="Times New Roman"/>
          <w:sz w:val="20"/>
          <w:szCs w:val="20"/>
          <w:lang w:val="sr-Latn-CS"/>
        </w:rPr>
        <w:t xml:space="preserve">Napomena: brojevi za period 2013–2015 su zasnovani na novim metodološkim standardima — Balance of Payments Manual, 6th edition (BPM6), and Benchmark Definition of FDI, 4th edition (BD4). Zbog navedenog, statistički pokazatelji nakon 2013. godine nisu direktno uporedivi sa  pokazateljima iz prethodnog perioda. </w:t>
      </w:r>
    </w:p>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p w:rsidR="00582A73" w:rsidRPr="00E91EEC" w:rsidRDefault="006463B8" w:rsidP="00582A73">
      <w:pPr>
        <w:spacing w:after="0" w:line="240" w:lineRule="auto"/>
        <w:jc w:val="both"/>
        <w:rPr>
          <w:rFonts w:ascii="Times New Roman" w:eastAsia="Times New Roman" w:hAnsi="Times New Roman" w:cs="Times New Roman"/>
          <w:szCs w:val="20"/>
          <w:lang w:val="sr-Latn-CS"/>
        </w:rPr>
      </w:pPr>
      <w:r w:rsidRPr="00E91EEC">
        <w:rPr>
          <w:rFonts w:ascii="Times New Roman" w:eastAsia="Times New Roman" w:hAnsi="Times New Roman" w:cs="Times New Roman"/>
          <w:szCs w:val="20"/>
          <w:lang w:val="sr-Latn-CS"/>
        </w:rPr>
        <w:t xml:space="preserve">Tabela 7. Bruto spoljni dug, EU </w:t>
      </w:r>
      <w:r w:rsidR="00435467" w:rsidRPr="00E91EEC">
        <w:rPr>
          <w:rFonts w:ascii="Times New Roman" w:eastAsia="Times New Roman" w:hAnsi="Times New Roman" w:cs="Times New Roman"/>
          <w:szCs w:val="20"/>
          <w:lang w:val="sr-Latn-CS"/>
        </w:rPr>
        <w:t>istočne zemlje članice, kraj godine, 2000-2016.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1"/>
        <w:gridCol w:w="771"/>
        <w:gridCol w:w="771"/>
        <w:gridCol w:w="771"/>
        <w:gridCol w:w="771"/>
        <w:gridCol w:w="881"/>
        <w:gridCol w:w="881"/>
        <w:gridCol w:w="881"/>
        <w:gridCol w:w="881"/>
        <w:gridCol w:w="881"/>
        <w:gridCol w:w="881"/>
        <w:gridCol w:w="881"/>
        <w:gridCol w:w="881"/>
        <w:gridCol w:w="868"/>
        <w:gridCol w:w="868"/>
        <w:gridCol w:w="868"/>
        <w:gridCol w:w="859"/>
      </w:tblGrid>
      <w:tr w:rsidR="00582A73" w:rsidRPr="00E91EEC" w:rsidTr="00435467">
        <w:trPr>
          <w:trHeight w:val="227"/>
        </w:trPr>
        <w:tc>
          <w:tcPr>
            <w:tcW w:w="400"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 </w:t>
            </w:r>
          </w:p>
        </w:tc>
        <w:tc>
          <w:tcPr>
            <w:tcW w:w="247"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2000</w:t>
            </w:r>
          </w:p>
        </w:tc>
        <w:tc>
          <w:tcPr>
            <w:tcW w:w="247"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2001</w:t>
            </w:r>
          </w:p>
        </w:tc>
        <w:tc>
          <w:tcPr>
            <w:tcW w:w="247"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2002</w:t>
            </w:r>
          </w:p>
        </w:tc>
        <w:tc>
          <w:tcPr>
            <w:tcW w:w="247"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2003</w:t>
            </w:r>
          </w:p>
        </w:tc>
        <w:tc>
          <w:tcPr>
            <w:tcW w:w="247"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2004</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2005</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2006</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2007</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2008</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2009</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2010</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2011</w:t>
            </w:r>
          </w:p>
        </w:tc>
        <w:tc>
          <w:tcPr>
            <w:tcW w:w="282" w:type="pct"/>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2012</w:t>
            </w:r>
          </w:p>
        </w:tc>
        <w:tc>
          <w:tcPr>
            <w:tcW w:w="278" w:type="pct"/>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2013</w:t>
            </w:r>
          </w:p>
        </w:tc>
        <w:tc>
          <w:tcPr>
            <w:tcW w:w="278" w:type="pct"/>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2014</w:t>
            </w:r>
          </w:p>
        </w:tc>
        <w:tc>
          <w:tcPr>
            <w:tcW w:w="278" w:type="pct"/>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2015</w:t>
            </w:r>
          </w:p>
        </w:tc>
        <w:tc>
          <w:tcPr>
            <w:tcW w:w="275" w:type="pct"/>
            <w:shd w:val="clear" w:color="auto" w:fill="99CCFF"/>
            <w:vAlign w:val="center"/>
          </w:tcPr>
          <w:p w:rsidR="00582A73" w:rsidRPr="00E91EEC" w:rsidRDefault="00582A73" w:rsidP="00582A73">
            <w:pPr>
              <w:spacing w:after="0" w:line="240" w:lineRule="auto"/>
              <w:jc w:val="right"/>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2016</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Bugarska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18"/>
                <w:szCs w:val="20"/>
                <w:lang w:val="sr-Latn-CS"/>
              </w:rPr>
              <w:t>10,634</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18"/>
                <w:szCs w:val="20"/>
                <w:lang w:val="sr-Latn-CS"/>
              </w:rPr>
              <w:t>12,561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18"/>
                <w:szCs w:val="20"/>
                <w:lang w:val="sr-Latn-CS"/>
              </w:rPr>
              <w:t>15,504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18"/>
                <w:szCs w:val="20"/>
                <w:lang w:val="sr-Latn-CS"/>
              </w:rPr>
              <w:t>20,691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18"/>
                <w:szCs w:val="20"/>
                <w:lang w:val="sr-Latn-CS"/>
              </w:rPr>
              <w:t>29,017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sz w:val="18"/>
                <w:szCs w:val="20"/>
                <w:lang w:val="sr-Latn-CS"/>
              </w:rPr>
            </w:pPr>
            <w:r w:rsidRPr="00E91EEC">
              <w:rPr>
                <w:rFonts w:ascii="Times New Roman" w:eastAsia="Times New Roman" w:hAnsi="Times New Roman" w:cs="Times New Roman"/>
                <w:sz w:val="18"/>
                <w:szCs w:val="20"/>
                <w:lang w:val="sr-Latn-CS"/>
              </w:rPr>
              <w:t>37,247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37,817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37,826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37,499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38,856</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38,191</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41,639</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37,589</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38,941</w:t>
            </w:r>
          </w:p>
        </w:tc>
      </w:tr>
      <w:tr w:rsidR="00582A73" w:rsidRPr="00E91EEC" w:rsidTr="00435467">
        <w:trPr>
          <w:trHeight w:val="227"/>
        </w:trPr>
        <w:tc>
          <w:tcPr>
            <w:tcW w:w="400" w:type="pct"/>
            <w:shd w:val="clear" w:color="auto" w:fill="99CCFF"/>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Hrvatska</w:t>
            </w:r>
          </w:p>
        </w:tc>
        <w:tc>
          <w:tcPr>
            <w:tcW w:w="247"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13,648</w:t>
            </w:r>
          </w:p>
        </w:tc>
        <w:tc>
          <w:tcPr>
            <w:tcW w:w="247"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15,078</w:t>
            </w:r>
          </w:p>
        </w:tc>
        <w:tc>
          <w:tcPr>
            <w:tcW w:w="247"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19,889</w:t>
            </w:r>
          </w:p>
        </w:tc>
        <w:tc>
          <w:tcPr>
            <w:tcW w:w="247"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22,952</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26,005</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29,703</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33,695</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40,419</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45,639</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46,922</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46,357</w:t>
            </w:r>
          </w:p>
        </w:tc>
        <w:tc>
          <w:tcPr>
            <w:tcW w:w="282" w:type="pct"/>
            <w:shd w:val="clear" w:color="auto" w:fill="auto"/>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45,226</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46,026</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46,685</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45,516</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41,652</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Kipar</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112,569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128,232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128,272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124,628</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120,284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103,234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97,609</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97,082</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106,912</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Češka Republika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35,249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43,184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48,757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59,662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69,292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73,887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86,367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89,672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96,784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99,645</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109,028</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118,261</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130,568</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Estonija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3,233</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3,707</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4,490</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5,603</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7,459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9,672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12,944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17,406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19,026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17,271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16,492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16,721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17,957</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18,978</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19,072</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Mađarska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32,564</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37,562</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38,496</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45,994</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59,946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71,915</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100,870</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120,717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157,616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168,849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157,621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162,607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156,629</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147,402</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152,202</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142,601</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137,061</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Litvanija</w:t>
            </w:r>
            <w:r w:rsidR="00582A73" w:rsidRPr="00E91EEC">
              <w:rPr>
                <w:rFonts w:ascii="Times New Roman" w:eastAsia="Times New Roman" w:hAnsi="Times New Roman" w:cs="Times New Roman"/>
                <w:sz w:val="20"/>
                <w:szCs w:val="20"/>
                <w:lang w:val="sr-Latn-CS"/>
              </w:rPr>
              <w:t xml:space="preserve"> </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4,152</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5,058</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5,953</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7,236</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9,874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12,808</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18,128</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26,835</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29,763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29,229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30,119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29,603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30,254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30,501</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33,794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34,505</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36,853</w:t>
            </w:r>
          </w:p>
        </w:tc>
      </w:tr>
      <w:tr w:rsidR="00582A73" w:rsidRPr="00E91EEC" w:rsidTr="00435467">
        <w:trPr>
          <w:trHeight w:val="227"/>
        </w:trPr>
        <w:tc>
          <w:tcPr>
            <w:tcW w:w="400" w:type="pct"/>
            <w:shd w:val="clear" w:color="auto" w:fill="99CCFF"/>
            <w:hideMark/>
          </w:tcPr>
          <w:p w:rsidR="00582A73" w:rsidRPr="00E91EEC" w:rsidRDefault="00582A73"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 xml:space="preserve"> </w:t>
            </w:r>
            <w:r w:rsidR="00DE363E" w:rsidRPr="00E91EEC">
              <w:rPr>
                <w:rFonts w:ascii="Times New Roman" w:eastAsia="Times New Roman" w:hAnsi="Times New Roman" w:cs="Times New Roman"/>
                <w:sz w:val="20"/>
                <w:szCs w:val="20"/>
                <w:lang w:val="sr-Latn-CS"/>
              </w:rPr>
              <w:t>Letonija</w:t>
            </w:r>
            <w:r w:rsidRPr="00E91EEC">
              <w:rPr>
                <w:rFonts w:ascii="Times New Roman" w:eastAsia="Times New Roman" w:hAnsi="Times New Roman" w:cs="Times New Roman"/>
                <w:sz w:val="20"/>
                <w:szCs w:val="20"/>
                <w:lang w:val="sr-Latn-CS"/>
              </w:rPr>
              <w:t xml:space="preserve"> </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7,897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10,571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14,275</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20,477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23,633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23,340</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24,178</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25,149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26,031</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24,596</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25,551</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28,332</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33,368</w:t>
            </w:r>
          </w:p>
        </w:tc>
      </w:tr>
      <w:tr w:rsidR="00582A73" w:rsidRPr="00E91EEC" w:rsidTr="00435467">
        <w:trPr>
          <w:trHeight w:val="227"/>
        </w:trPr>
        <w:tc>
          <w:tcPr>
            <w:tcW w:w="400" w:type="pct"/>
            <w:shd w:val="clear" w:color="auto" w:fill="99CCFF"/>
            <w:hideMark/>
          </w:tcPr>
          <w:p w:rsidR="00582A73" w:rsidRPr="00E91EEC" w:rsidRDefault="00582A73"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 xml:space="preserve"> Malta </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24,022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32,210</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39,312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51,479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61,769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65,903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72,874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78,503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82,356</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84,944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93,464</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89,248</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86,593</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Poljska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95,309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112,441</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129,149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158,293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174,717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194,783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238,114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248,627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280,715</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278,470</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292,761</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301,891</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319,180</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76"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Rumunija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31,013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41,289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58,777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71,795</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82,146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94,126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99,844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100,500</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98,370</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94,730</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90,445</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92,420</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Slovenija</w:t>
            </w:r>
            <w:r w:rsidR="00582A73" w:rsidRPr="00E91EEC">
              <w:rPr>
                <w:rFonts w:ascii="Times New Roman" w:eastAsia="Times New Roman" w:hAnsi="Times New Roman" w:cs="Times New Roman"/>
                <w:sz w:val="20"/>
                <w:szCs w:val="20"/>
                <w:lang w:val="sr-Latn-CS"/>
              </w:rPr>
              <w:t xml:space="preserve"> </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38,604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50,124</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52,236</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55,312</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54,883</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60,861</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68,480</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67,185</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73,750</w:t>
            </w:r>
          </w:p>
        </w:tc>
      </w:tr>
      <w:tr w:rsidR="00582A73" w:rsidRPr="00E91EEC" w:rsidTr="00435467">
        <w:trPr>
          <w:trHeight w:val="227"/>
        </w:trPr>
        <w:tc>
          <w:tcPr>
            <w:tcW w:w="400" w:type="pct"/>
            <w:shd w:val="clear" w:color="auto" w:fill="99CCFF"/>
            <w:hideMark/>
          </w:tcPr>
          <w:p w:rsidR="00582A73" w:rsidRPr="00E91EEC" w:rsidRDefault="00DE363E"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Slovačka</w:t>
            </w:r>
          </w:p>
        </w:tc>
        <w:tc>
          <w:tcPr>
            <w:tcW w:w="247"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9,526</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10,422</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11,524</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13,225</w:t>
            </w:r>
          </w:p>
        </w:tc>
        <w:tc>
          <w:tcPr>
            <w:tcW w:w="247"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15,410</w:t>
            </w:r>
          </w:p>
        </w:tc>
        <w:tc>
          <w:tcPr>
            <w:tcW w:w="282"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20,579</w:t>
            </w:r>
          </w:p>
        </w:tc>
        <w:tc>
          <w:tcPr>
            <w:tcW w:w="282"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24,162</w:t>
            </w:r>
          </w:p>
        </w:tc>
        <w:tc>
          <w:tcPr>
            <w:tcW w:w="282"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35,678</w:t>
            </w:r>
          </w:p>
        </w:tc>
        <w:tc>
          <w:tcPr>
            <w:tcW w:w="282" w:type="pct"/>
            <w:shd w:val="clear" w:color="auto" w:fill="auto"/>
            <w:noWrap/>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40,388</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41,667</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42,123</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41,669</w:t>
            </w:r>
          </w:p>
        </w:tc>
        <w:tc>
          <w:tcPr>
            <w:tcW w:w="282" w:type="pct"/>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42,850</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41,632</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47,212</w:t>
            </w:r>
          </w:p>
        </w:tc>
        <w:tc>
          <w:tcPr>
            <w:tcW w:w="278"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46,627</w:t>
            </w:r>
          </w:p>
        </w:tc>
        <w:tc>
          <w:tcPr>
            <w:tcW w:w="275" w:type="pct"/>
            <w:vAlign w:val="center"/>
          </w:tcPr>
          <w:p w:rsidR="00582A73" w:rsidRPr="00E91EEC" w:rsidRDefault="00582A73" w:rsidP="00582A73">
            <w:pPr>
              <w:spacing w:after="0" w:line="240" w:lineRule="auto"/>
              <w:jc w:val="right"/>
              <w:rPr>
                <w:rFonts w:ascii="Times New Roman" w:eastAsia="Times New Roman" w:hAnsi="Times New Roman" w:cs="Times New Roman"/>
                <w:color w:val="000000"/>
                <w:sz w:val="18"/>
                <w:szCs w:val="20"/>
                <w:lang w:val="sr-Latn-CS"/>
              </w:rPr>
            </w:pPr>
            <w:r w:rsidRPr="00E91EEC">
              <w:rPr>
                <w:rFonts w:ascii="Times New Roman" w:eastAsia="Times New Roman" w:hAnsi="Times New Roman" w:cs="Times New Roman"/>
                <w:color w:val="000000"/>
                <w:sz w:val="18"/>
                <w:szCs w:val="20"/>
                <w:lang w:val="sr-Latn-CS"/>
              </w:rPr>
              <w:t>44,805</w:t>
            </w:r>
          </w:p>
        </w:tc>
      </w:tr>
    </w:tbl>
    <w:p w:rsidR="00582A73" w:rsidRPr="00E91EEC" w:rsidRDefault="00435467" w:rsidP="00582A73">
      <w:pPr>
        <w:spacing w:after="0" w:line="240" w:lineRule="auto"/>
        <w:jc w:val="both"/>
        <w:rPr>
          <w:rFonts w:ascii="Times New Roman" w:eastAsia="Times New Roman" w:hAnsi="Times New Roman" w:cs="Times New Roman"/>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r w:rsidRPr="00E91EEC">
        <w:rPr>
          <w:rFonts w:ascii="Times New Roman" w:eastAsia="Times New Roman" w:hAnsi="Times New Roman" w:cs="Times New Roman"/>
          <w:sz w:val="20"/>
          <w:szCs w:val="20"/>
          <w:lang w:val="sr-Latn-CS"/>
        </w:rPr>
        <w:t>(pristupljeno 17.09.2017)</w:t>
      </w:r>
    </w:p>
    <w:p w:rsidR="00582A73" w:rsidRPr="00E91EEC" w:rsidRDefault="00582A73" w:rsidP="00582A73">
      <w:pPr>
        <w:spacing w:after="0" w:line="240" w:lineRule="auto"/>
        <w:rPr>
          <w:rFonts w:ascii="Times New Roman" w:eastAsia="Times New Roman" w:hAnsi="Times New Roman" w:cs="Times New Roman"/>
          <w:szCs w:val="20"/>
          <w:lang w:val="sr-Latn-CS"/>
        </w:rPr>
      </w:pPr>
      <w:r w:rsidRPr="00E91EEC">
        <w:rPr>
          <w:rFonts w:ascii="Times New Roman" w:eastAsia="Times New Roman" w:hAnsi="Times New Roman" w:cs="Times New Roman"/>
          <w:szCs w:val="20"/>
          <w:lang w:val="sr-Latn-CS"/>
        </w:rPr>
        <w:br w:type="page"/>
      </w:r>
    </w:p>
    <w:p w:rsidR="00582A73" w:rsidRPr="00E91EEC" w:rsidRDefault="00582A73" w:rsidP="00582A73">
      <w:pPr>
        <w:spacing w:after="0" w:line="240" w:lineRule="auto"/>
        <w:jc w:val="both"/>
        <w:rPr>
          <w:rFonts w:ascii="Times New Roman" w:eastAsia="Times New Roman" w:hAnsi="Times New Roman" w:cs="Times New Roman"/>
          <w:szCs w:val="20"/>
          <w:lang w:val="sr-Latn-CS"/>
        </w:rPr>
      </w:pPr>
    </w:p>
    <w:p w:rsidR="00582A73" w:rsidRPr="00E91EEC" w:rsidRDefault="00435467" w:rsidP="00582A73">
      <w:pPr>
        <w:spacing w:after="0" w:line="240" w:lineRule="auto"/>
        <w:jc w:val="both"/>
        <w:rPr>
          <w:rFonts w:ascii="Times New Roman" w:eastAsia="Times New Roman" w:hAnsi="Times New Roman" w:cs="Times New Roman"/>
          <w:color w:val="222222"/>
          <w:szCs w:val="20"/>
          <w:shd w:val="clear" w:color="auto" w:fill="FFFFFF"/>
          <w:lang w:val="sr-Latn-CS"/>
        </w:rPr>
      </w:pPr>
      <w:r w:rsidRPr="00E91EEC">
        <w:rPr>
          <w:rFonts w:ascii="Times New Roman" w:eastAsia="Times New Roman" w:hAnsi="Times New Roman" w:cs="Times New Roman"/>
          <w:color w:val="222222"/>
          <w:szCs w:val="20"/>
          <w:shd w:val="clear" w:color="auto" w:fill="FFFFFF"/>
          <w:lang w:val="sr-Latn-CS"/>
        </w:rPr>
        <w:t>Tabela 8. Godišnji rast spoljnog duga i godišnji rast BDP u procentima (izvedeno iz Tabele 20 i Tabele 1).</w:t>
      </w:r>
    </w:p>
    <w:tbl>
      <w:tblPr>
        <w:tblW w:w="15080" w:type="dxa"/>
        <w:tblInd w:w="108" w:type="dxa"/>
        <w:tblLook w:val="04A0"/>
      </w:tblPr>
      <w:tblGrid>
        <w:gridCol w:w="1480"/>
        <w:gridCol w:w="800"/>
        <w:gridCol w:w="800"/>
        <w:gridCol w:w="800"/>
        <w:gridCol w:w="800"/>
        <w:gridCol w:w="800"/>
        <w:gridCol w:w="800"/>
        <w:gridCol w:w="800"/>
        <w:gridCol w:w="800"/>
        <w:gridCol w:w="800"/>
        <w:gridCol w:w="800"/>
        <w:gridCol w:w="800"/>
        <w:gridCol w:w="800"/>
        <w:gridCol w:w="800"/>
        <w:gridCol w:w="800"/>
        <w:gridCol w:w="800"/>
        <w:gridCol w:w="800"/>
        <w:gridCol w:w="800"/>
      </w:tblGrid>
      <w:tr w:rsidR="00582A73" w:rsidRPr="00E91EEC" w:rsidTr="00582A73">
        <w:trPr>
          <w:trHeight w:val="170"/>
        </w:trPr>
        <w:tc>
          <w:tcPr>
            <w:tcW w:w="148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 </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 </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2001</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2002</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2003</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2004</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2005</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2006</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2007</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2008</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2009</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2010</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2011</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2012</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2013</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2014</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2015</w:t>
            </w:r>
          </w:p>
        </w:tc>
        <w:tc>
          <w:tcPr>
            <w:tcW w:w="800" w:type="dxa"/>
            <w:tcBorders>
              <w:top w:val="single" w:sz="4" w:space="0" w:color="auto"/>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2016</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Bugarska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18.1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23.4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40.2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28.4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3.6</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3.4</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Hrvatska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31.9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15.4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13.3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13.4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20.0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-8.5</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3.0</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Kipar</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13.9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-5.4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10.1</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2.8</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Češka Republika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16.1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6.6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16.9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7.9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8.5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10.4</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2.6</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Estonija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21.1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24.8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29.7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34.5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7.4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9.4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10.3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-14.7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2.1</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Mađarska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15.3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19.5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30.3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20.0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40.3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19.7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30.6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7.1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-6.6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-5.9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-6.3</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-3.9</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2.0</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Litvanija</w:t>
            </w:r>
            <w:r w:rsidR="00582A73" w:rsidRPr="00E91EEC">
              <w:rPr>
                <w:rFonts w:ascii="Times New Roman" w:eastAsia="Times New Roman" w:hAnsi="Times New Roman" w:cs="Times New Roman"/>
                <w:color w:val="000000"/>
                <w:sz w:val="20"/>
                <w:szCs w:val="20"/>
                <w:lang w:val="sr-Latn-CS"/>
              </w:rPr>
              <w:t xml:space="preserve"> </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21.8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17.7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21.6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36.5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29.7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41.5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48.0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6.8</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10.3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11.1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-14.8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2.3</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 xml:space="preserve"> </w:t>
            </w:r>
            <w:r w:rsidR="00DE363E" w:rsidRPr="00E91EEC">
              <w:rPr>
                <w:rFonts w:ascii="Times New Roman" w:eastAsia="Times New Roman" w:hAnsi="Times New Roman" w:cs="Times New Roman"/>
                <w:color w:val="000000"/>
                <w:sz w:val="20"/>
                <w:szCs w:val="20"/>
                <w:lang w:val="sr-Latn-CS"/>
              </w:rPr>
              <w:t>Letonija</w:t>
            </w:r>
            <w:r w:rsidRPr="00E91EEC">
              <w:rPr>
                <w:rFonts w:ascii="Times New Roman" w:eastAsia="Times New Roman" w:hAnsi="Times New Roman" w:cs="Times New Roman"/>
                <w:color w:val="000000"/>
                <w:sz w:val="20"/>
                <w:szCs w:val="20"/>
                <w:lang w:val="sr-Latn-CS"/>
              </w:rPr>
              <w:t xml:space="preserve"> </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35.0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43.4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15.4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-5.5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17.8</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8.9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10.7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11.9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9.9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-14.3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2.0</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 xml:space="preserve"> Malta </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34.1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30.9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20.0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6.7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7.7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-3.0</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8.3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5.0</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Poljska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18.0</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11.5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5.1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5.7</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2.7</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Rumunija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42.4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6.1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2.2</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8.5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8.1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8.5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4.8</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Slovenija</w:t>
            </w:r>
            <w:r w:rsidR="00582A73" w:rsidRPr="00E91EEC">
              <w:rPr>
                <w:rFonts w:ascii="Times New Roman" w:eastAsia="Times New Roman" w:hAnsi="Times New Roman" w:cs="Times New Roman"/>
                <w:color w:val="000000"/>
                <w:sz w:val="20"/>
                <w:szCs w:val="20"/>
                <w:lang w:val="sr-Latn-CS"/>
              </w:rPr>
              <w:t xml:space="preserve"> </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 </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29.8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5.9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-0.8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-1.9</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9.8</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6.9</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-7.8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1.2</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0.6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2.3</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3.1</w:t>
            </w:r>
          </w:p>
        </w:tc>
      </w:tr>
      <w:tr w:rsidR="00582A73" w:rsidRPr="00E91EEC" w:rsidTr="00582A73">
        <w:trPr>
          <w:trHeight w:val="170"/>
        </w:trPr>
        <w:tc>
          <w:tcPr>
            <w:tcW w:w="1480" w:type="dxa"/>
            <w:vMerge w:val="restart"/>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DE363E" w:rsidP="00582A73">
            <w:pPr>
              <w:spacing w:after="0" w:line="240" w:lineRule="auto"/>
              <w:jc w:val="both"/>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Slovačka</w:t>
            </w: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Debt</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9.4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10.6</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14.8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16.5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33.5</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17.4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47.7</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13.2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-1.1</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-2.8</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13.4</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-1.2</w:t>
            </w:r>
          </w:p>
        </w:tc>
        <w:tc>
          <w:tcPr>
            <w:tcW w:w="800" w:type="dxa"/>
            <w:tcBorders>
              <w:top w:val="nil"/>
              <w:left w:val="nil"/>
              <w:bottom w:val="single" w:sz="4" w:space="0" w:color="auto"/>
              <w:right w:val="single" w:sz="4" w:space="0" w:color="auto"/>
            </w:tcBorders>
            <w:shd w:val="clear" w:color="auto" w:fill="auto"/>
            <w:vAlign w:val="center"/>
            <w:hideMark/>
          </w:tcPr>
          <w:p w:rsidR="00582A73" w:rsidRPr="00E91EEC" w:rsidRDefault="00582A73" w:rsidP="00582A73">
            <w:pPr>
              <w:spacing w:after="0" w:line="240" w:lineRule="auto"/>
              <w:jc w:val="right"/>
              <w:rPr>
                <w:rFonts w:ascii="Times New Roman" w:eastAsia="Times New Roman" w:hAnsi="Times New Roman" w:cs="Times New Roman"/>
                <w:color w:val="000000"/>
                <w:sz w:val="18"/>
                <w:szCs w:val="18"/>
                <w:lang w:val="sr-Latn-CS"/>
              </w:rPr>
            </w:pPr>
            <w:r w:rsidRPr="00E91EEC">
              <w:rPr>
                <w:rFonts w:ascii="Times New Roman" w:eastAsia="Times New Roman" w:hAnsi="Times New Roman" w:cs="Times New Roman"/>
                <w:color w:val="000000"/>
                <w:sz w:val="18"/>
                <w:szCs w:val="18"/>
                <w:lang w:val="sr-Latn-CS"/>
              </w:rPr>
              <w:t>-3.9</w:t>
            </w:r>
          </w:p>
        </w:tc>
      </w:tr>
      <w:tr w:rsidR="00582A73" w:rsidRPr="00E91EEC" w:rsidTr="00582A73">
        <w:trPr>
          <w:trHeight w:val="170"/>
        </w:trPr>
        <w:tc>
          <w:tcPr>
            <w:tcW w:w="1480" w:type="dxa"/>
            <w:vMerge/>
            <w:tcBorders>
              <w:top w:val="nil"/>
              <w:left w:val="single" w:sz="4" w:space="0" w:color="auto"/>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both"/>
              <w:rPr>
                <w:rFonts w:ascii="Times New Roman" w:eastAsia="Times New Roman" w:hAnsi="Times New Roman" w:cs="Times New Roman"/>
                <w:color w:val="000000"/>
                <w:sz w:val="20"/>
                <w:szCs w:val="20"/>
                <w:lang w:val="sr-Latn-CS"/>
              </w:rPr>
            </w:pPr>
          </w:p>
        </w:tc>
        <w:tc>
          <w:tcPr>
            <w:tcW w:w="800" w:type="dxa"/>
            <w:tcBorders>
              <w:top w:val="nil"/>
              <w:left w:val="nil"/>
              <w:bottom w:val="single" w:sz="4" w:space="0" w:color="auto"/>
              <w:right w:val="single" w:sz="4" w:space="0" w:color="auto"/>
            </w:tcBorders>
            <w:shd w:val="clear" w:color="auto" w:fill="99CCFF"/>
            <w:vAlign w:val="center"/>
            <w:hideMark/>
          </w:tcPr>
          <w:p w:rsidR="00582A73" w:rsidRPr="00E91EEC" w:rsidRDefault="00582A73" w:rsidP="00582A73">
            <w:pPr>
              <w:spacing w:after="0" w:line="240" w:lineRule="auto"/>
              <w:jc w:val="center"/>
              <w:rPr>
                <w:rFonts w:ascii="Times New Roman" w:eastAsia="Times New Roman" w:hAnsi="Times New Roman" w:cs="Times New Roman"/>
                <w:color w:val="000000"/>
                <w:sz w:val="20"/>
                <w:szCs w:val="20"/>
                <w:lang w:val="sr-Latn-CS"/>
              </w:rPr>
            </w:pPr>
            <w:r w:rsidRPr="00E91EEC">
              <w:rPr>
                <w:rFonts w:ascii="Times New Roman" w:eastAsia="Times New Roman" w:hAnsi="Times New Roman" w:cs="Times New Roman"/>
                <w:color w:val="000000"/>
                <w:sz w:val="20"/>
                <w:szCs w:val="20"/>
                <w:lang w:val="sr-Latn-CS"/>
              </w:rPr>
              <w:t>GDP</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4.8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5.1</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6.8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8.5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10.8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-5.4</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5.0</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1.7</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1.5</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2.6</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3.8</w:t>
            </w:r>
          </w:p>
        </w:tc>
        <w:tc>
          <w:tcPr>
            <w:tcW w:w="800" w:type="dxa"/>
            <w:tcBorders>
              <w:top w:val="nil"/>
              <w:left w:val="nil"/>
              <w:bottom w:val="single" w:sz="4" w:space="0" w:color="auto"/>
              <w:right w:val="single" w:sz="4" w:space="0" w:color="auto"/>
            </w:tcBorders>
            <w:shd w:val="clear" w:color="auto" w:fill="auto"/>
            <w:noWrap/>
            <w:vAlign w:val="bottom"/>
            <w:hideMark/>
          </w:tcPr>
          <w:p w:rsidR="00582A73" w:rsidRPr="00E91EEC" w:rsidRDefault="00582A73" w:rsidP="00582A73">
            <w:pPr>
              <w:spacing w:after="0" w:line="240" w:lineRule="auto"/>
              <w:jc w:val="right"/>
              <w:rPr>
                <w:rFonts w:ascii="Times New Roman" w:eastAsia="Times New Roman" w:hAnsi="Times New Roman" w:cs="Times New Roman"/>
                <w:color w:val="000000"/>
                <w:szCs w:val="20"/>
                <w:lang w:val="sr-Latn-CS"/>
              </w:rPr>
            </w:pPr>
            <w:r w:rsidRPr="00E91EEC">
              <w:rPr>
                <w:rFonts w:ascii="Times New Roman" w:eastAsia="Times New Roman" w:hAnsi="Times New Roman" w:cs="Times New Roman"/>
                <w:color w:val="000000"/>
                <w:szCs w:val="20"/>
                <w:lang w:val="sr-Latn-CS"/>
              </w:rPr>
              <w:t>3.3</w:t>
            </w:r>
          </w:p>
        </w:tc>
      </w:tr>
    </w:tbl>
    <w:p w:rsidR="00582A73" w:rsidRPr="00E91EEC" w:rsidRDefault="00435467" w:rsidP="00582A73">
      <w:pPr>
        <w:spacing w:after="0" w:line="240" w:lineRule="auto"/>
        <w:jc w:val="both"/>
        <w:rPr>
          <w:rFonts w:ascii="Times New Roman" w:eastAsia="Times New Roman" w:hAnsi="Times New Roman" w:cs="Times New Roman"/>
          <w:sz w:val="20"/>
          <w:szCs w:val="20"/>
          <w:lang w:val="sr-Latn-CS"/>
        </w:rPr>
      </w:pPr>
      <w:r w:rsidRPr="00E91EEC">
        <w:rPr>
          <w:rFonts w:ascii="Times New Roman" w:eastAsia="Times New Roman" w:hAnsi="Times New Roman" w:cs="Times New Roman"/>
          <w:sz w:val="20"/>
          <w:szCs w:val="20"/>
          <w:lang w:val="sr-Latn-CS"/>
        </w:rPr>
        <w:t>Izvor</w:t>
      </w:r>
      <w:r w:rsidR="00582A73" w:rsidRPr="00E91EEC">
        <w:rPr>
          <w:rFonts w:ascii="Times New Roman" w:eastAsia="Times New Roman" w:hAnsi="Times New Roman" w:cs="Times New Roman"/>
          <w:sz w:val="20"/>
          <w:szCs w:val="20"/>
          <w:lang w:val="sr-Latn-CS"/>
        </w:rPr>
        <w:t xml:space="preserve">: Eurostat </w:t>
      </w:r>
      <w:r w:rsidR="00DE363E" w:rsidRPr="00E91EEC">
        <w:rPr>
          <w:rFonts w:ascii="Times New Roman" w:eastAsia="Times New Roman" w:hAnsi="Times New Roman" w:cs="Times New Roman"/>
          <w:sz w:val="20"/>
          <w:szCs w:val="20"/>
          <w:lang w:val="sr-Latn-CS"/>
        </w:rPr>
        <w:t>(pristupljeno 17.09.2017)</w:t>
      </w:r>
    </w:p>
    <w:p w:rsidR="00582A73" w:rsidRPr="00E91EEC" w:rsidRDefault="00582A73" w:rsidP="00582A73">
      <w:pPr>
        <w:spacing w:after="0" w:line="240" w:lineRule="auto"/>
        <w:jc w:val="both"/>
        <w:rPr>
          <w:rFonts w:ascii="Times New Roman" w:eastAsia="Times New Roman" w:hAnsi="Times New Roman" w:cs="Times New Roman"/>
          <w:sz w:val="20"/>
          <w:szCs w:val="20"/>
          <w:lang w:val="sr-Latn-CS"/>
        </w:rPr>
      </w:pPr>
    </w:p>
    <w:p w:rsidR="00D614BD" w:rsidRPr="00E91EEC" w:rsidRDefault="00D614BD" w:rsidP="009D2BCC">
      <w:pPr>
        <w:rPr>
          <w:rFonts w:cstheme="minorHAnsi"/>
          <w:sz w:val="24"/>
          <w:szCs w:val="24"/>
          <w:lang w:val="sr-Latn-CS"/>
        </w:rPr>
      </w:pPr>
    </w:p>
    <w:sectPr w:rsidR="00D614BD" w:rsidRPr="00E91EEC" w:rsidSect="00582A73">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AFE" w:rsidRDefault="008E4AFE" w:rsidP="00C04459">
      <w:pPr>
        <w:spacing w:after="0" w:line="240" w:lineRule="auto"/>
      </w:pPr>
      <w:r>
        <w:separator/>
      </w:r>
    </w:p>
  </w:endnote>
  <w:endnote w:type="continuationSeparator" w:id="1">
    <w:p w:rsidR="008E4AFE" w:rsidRDefault="008E4AFE" w:rsidP="00C0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ansCondense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313"/>
      <w:docPartObj>
        <w:docPartGallery w:val="Page Numbers (Bottom of Page)"/>
        <w:docPartUnique/>
      </w:docPartObj>
    </w:sdtPr>
    <w:sdtContent>
      <w:p w:rsidR="00986730" w:rsidRDefault="00C7556C">
        <w:pPr>
          <w:pStyle w:val="Footer"/>
          <w:jc w:val="center"/>
        </w:pPr>
        <w:fldSimple w:instr=" PAGE   \* MERGEFORMAT ">
          <w:r w:rsidR="00285BB1">
            <w:rPr>
              <w:noProof/>
            </w:rPr>
            <w:t>11</w:t>
          </w:r>
        </w:fldSimple>
      </w:p>
    </w:sdtContent>
  </w:sdt>
  <w:p w:rsidR="00986730" w:rsidRDefault="00986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DE" w:rsidRDefault="003A5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AFE" w:rsidRDefault="008E4AFE" w:rsidP="00C04459">
      <w:pPr>
        <w:spacing w:after="0" w:line="240" w:lineRule="auto"/>
      </w:pPr>
      <w:r>
        <w:separator/>
      </w:r>
    </w:p>
  </w:footnote>
  <w:footnote w:type="continuationSeparator" w:id="1">
    <w:p w:rsidR="008E4AFE" w:rsidRDefault="008E4AFE" w:rsidP="00C04459">
      <w:pPr>
        <w:spacing w:after="0" w:line="240" w:lineRule="auto"/>
      </w:pPr>
      <w:r>
        <w:continuationSeparator/>
      </w:r>
    </w:p>
  </w:footnote>
  <w:footnote w:id="2">
    <w:p w:rsidR="00B7399B" w:rsidRPr="0034042F" w:rsidRDefault="00B7399B">
      <w:pPr>
        <w:pStyle w:val="FootnoteText"/>
        <w:rPr>
          <w:rFonts w:asciiTheme="minorHAnsi" w:hAnsiTheme="minorHAnsi"/>
          <w:lang w:val="sr-Latn-CS"/>
        </w:rPr>
      </w:pPr>
      <w:r w:rsidRPr="0034042F">
        <w:rPr>
          <w:rStyle w:val="FootnoteReference"/>
          <w:rFonts w:asciiTheme="minorHAnsi" w:hAnsiTheme="minorHAnsi"/>
          <w:lang w:val="sr-Latn-CS"/>
        </w:rPr>
        <w:footnoteRef/>
      </w:r>
      <w:r w:rsidRPr="0034042F">
        <w:rPr>
          <w:rFonts w:asciiTheme="minorHAnsi" w:hAnsiTheme="minorHAnsi"/>
          <w:lang w:val="sr-Latn-CS"/>
        </w:rPr>
        <w:t xml:space="preserve"> Autori su zahvalni Katarini Radosavljević na </w:t>
      </w:r>
      <w:r w:rsidR="00C5608B" w:rsidRPr="0034042F">
        <w:rPr>
          <w:rFonts w:asciiTheme="minorHAnsi" w:hAnsiTheme="minorHAnsi"/>
          <w:lang w:val="sr-Latn-CS"/>
        </w:rPr>
        <w:t xml:space="preserve">savetima i </w:t>
      </w:r>
      <w:r w:rsidRPr="0034042F">
        <w:rPr>
          <w:rFonts w:asciiTheme="minorHAnsi" w:hAnsiTheme="minorHAnsi"/>
          <w:lang w:val="sr-Latn-CS"/>
        </w:rPr>
        <w:t>pomoći prilikom pisanja ovog rada.</w:t>
      </w:r>
    </w:p>
    <w:p w:rsidR="00B7399B" w:rsidRPr="0034042F" w:rsidRDefault="00B7399B">
      <w:pPr>
        <w:pStyle w:val="FootnoteText"/>
        <w:rPr>
          <w:rFonts w:asciiTheme="minorHAnsi" w:hAnsiTheme="minorHAnsi"/>
          <w:lang w:val="sr-Latn-CS"/>
        </w:rPr>
      </w:pPr>
      <w:r w:rsidRPr="0034042F">
        <w:rPr>
          <w:rFonts w:asciiTheme="minorHAnsi" w:hAnsiTheme="minorHAnsi"/>
          <w:lang w:val="sr-Latn-CS"/>
        </w:rPr>
        <w:t>Sv</w:t>
      </w:r>
      <w:r w:rsidR="00C5608B" w:rsidRPr="0034042F">
        <w:rPr>
          <w:rFonts w:asciiTheme="minorHAnsi" w:hAnsiTheme="minorHAnsi"/>
          <w:lang w:val="sr-Latn-CS"/>
        </w:rPr>
        <w:t>i stavovi i moguće</w:t>
      </w:r>
      <w:r w:rsidRPr="0034042F">
        <w:rPr>
          <w:rFonts w:asciiTheme="minorHAnsi" w:hAnsiTheme="minorHAnsi"/>
          <w:lang w:val="sr-Latn-CS"/>
        </w:rPr>
        <w:t xml:space="preserve"> greške</w:t>
      </w:r>
      <w:r w:rsidR="00C5608B" w:rsidRPr="0034042F">
        <w:rPr>
          <w:rFonts w:asciiTheme="minorHAnsi" w:hAnsiTheme="minorHAnsi"/>
          <w:lang w:val="sr-Latn-CS"/>
        </w:rPr>
        <w:t xml:space="preserve"> i</w:t>
      </w:r>
      <w:r w:rsidRPr="0034042F">
        <w:rPr>
          <w:rFonts w:asciiTheme="minorHAnsi" w:hAnsiTheme="minorHAnsi"/>
          <w:lang w:val="sr-Latn-CS"/>
        </w:rPr>
        <w:t xml:space="preserve"> propisti koji su izneti </w:t>
      </w:r>
      <w:r w:rsidR="00C5608B" w:rsidRPr="0034042F">
        <w:rPr>
          <w:rFonts w:asciiTheme="minorHAnsi" w:hAnsiTheme="minorHAnsi"/>
          <w:lang w:val="sr-Latn-CS"/>
        </w:rPr>
        <w:t xml:space="preserve">u ovom radu </w:t>
      </w:r>
      <w:r w:rsidRPr="0034042F">
        <w:rPr>
          <w:rFonts w:asciiTheme="minorHAnsi" w:hAnsiTheme="minorHAnsi"/>
          <w:lang w:val="sr-Latn-CS"/>
        </w:rPr>
        <w:t xml:space="preserve">pripadaju samo autorima i ne obavezuju institucije u kojima su zaposleni. </w:t>
      </w:r>
    </w:p>
  </w:footnote>
  <w:footnote w:id="3">
    <w:p w:rsidR="003A51DE" w:rsidRPr="0034042F" w:rsidRDefault="003A51DE">
      <w:pPr>
        <w:pStyle w:val="FootnoteText"/>
        <w:rPr>
          <w:rFonts w:asciiTheme="minorHAnsi" w:hAnsiTheme="minorHAnsi"/>
          <w:lang w:val="sr-Latn-CS"/>
        </w:rPr>
      </w:pPr>
      <w:r w:rsidRPr="0034042F">
        <w:rPr>
          <w:rStyle w:val="FootnoteReference"/>
          <w:rFonts w:asciiTheme="minorHAnsi" w:hAnsiTheme="minorHAnsi"/>
          <w:lang w:val="sr-Latn-CS"/>
        </w:rPr>
        <w:footnoteRef/>
      </w:r>
      <w:r w:rsidRPr="0034042F">
        <w:rPr>
          <w:rFonts w:asciiTheme="minorHAnsi" w:hAnsiTheme="minorHAnsi"/>
          <w:lang w:val="sr-Latn-CS"/>
        </w:rPr>
        <w:t xml:space="preserve"> Potrebno je napomenuti da uspeh prilikom proširenja nije bio potpun. Alžir je, napuštanjem Francuske 1962. godine, napustio i klub evropskih integracija. Grenland (kao deo Danske) je izglasao 1984. godine i odlučio je da napusti EU 1985. godine. Britanija je 1975. godine održala referendum o svom članstvu sa pozitivnim ishodom, da bi 2016. godine na referendumu Britanija odlučila da napusti EU 2019. godine. </w:t>
      </w:r>
    </w:p>
  </w:footnote>
  <w:footnote w:id="4">
    <w:p w:rsidR="003A51DE" w:rsidRPr="0034042F" w:rsidRDefault="003A51DE" w:rsidP="00D423FD">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Mini</w:t>
      </w:r>
      <w:r w:rsidR="00233717" w:rsidRPr="0034042F">
        <w:rPr>
          <w:rFonts w:asciiTheme="minorHAnsi" w:hAnsiTheme="minorHAnsi" w:cstheme="minorHAnsi"/>
          <w:lang w:val="sr-Latn-CS"/>
        </w:rPr>
        <w:t>malna plata u Nemačkoj u 2017. g</w:t>
      </w:r>
      <w:r w:rsidRPr="0034042F">
        <w:rPr>
          <w:rFonts w:asciiTheme="minorHAnsi" w:hAnsiTheme="minorHAnsi" w:cstheme="minorHAnsi"/>
          <w:lang w:val="sr-Latn-CS"/>
        </w:rPr>
        <w:t xml:space="preserve">odini je bila </w:t>
      </w:r>
      <w:r w:rsidR="00233717" w:rsidRPr="0034042F">
        <w:rPr>
          <w:rFonts w:asciiTheme="minorHAnsi" w:hAnsiTheme="minorHAnsi" w:cstheme="minorHAnsi"/>
          <w:lang w:val="sr-Latn-CS"/>
        </w:rPr>
        <w:t>€</w:t>
      </w:r>
      <w:r w:rsidRPr="0034042F">
        <w:rPr>
          <w:rFonts w:asciiTheme="minorHAnsi" w:hAnsiTheme="minorHAnsi" w:cstheme="minorHAnsi"/>
          <w:lang w:val="sr-Latn-CS"/>
        </w:rPr>
        <w:t xml:space="preserve">1.498, dok je u Poljskoj minimalna plata iznosila </w:t>
      </w:r>
      <w:r w:rsidR="00233717" w:rsidRPr="0034042F">
        <w:rPr>
          <w:rFonts w:asciiTheme="minorHAnsi" w:hAnsiTheme="minorHAnsi" w:cstheme="minorHAnsi"/>
          <w:lang w:val="sr-Latn-CS"/>
        </w:rPr>
        <w:t>€</w:t>
      </w:r>
      <w:r w:rsidRPr="0034042F">
        <w:rPr>
          <w:rFonts w:asciiTheme="minorHAnsi" w:hAnsiTheme="minorHAnsi" w:cstheme="minorHAnsi"/>
          <w:lang w:val="sr-Latn-CS"/>
        </w:rPr>
        <w:t xml:space="preserve">473 (Geopolitical Futures, ‘Eastern Europe’s competitive edge’, 28 September 2017). </w:t>
      </w:r>
    </w:p>
  </w:footnote>
  <w:footnote w:id="5">
    <w:p w:rsidR="003A51DE" w:rsidRPr="0034042F" w:rsidRDefault="003A51DE" w:rsidP="00C14388">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Mađarska je posebna priča. Ova država je doslovno oterala MMF na leto 2013. godine zbog uobičajenih tehnokratskih i društveno-neodgovornih zahteva koje im je MMF postavio. Čim je MMF “otišao”, Mađarska je počela da sledi sopstvenu makroekonomsku politiku i spoljni dug je smanjen, kako u relativnom, tako i u apsolutnom iznosu.  </w:t>
      </w:r>
    </w:p>
  </w:footnote>
  <w:footnote w:id="6">
    <w:p w:rsidR="003A51DE" w:rsidRPr="0034042F" w:rsidRDefault="003A51DE" w:rsidP="00137A1F">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B. Fox, ‘Sex and drugs drive EU growth surge’, EUobserver, 17 October 2014. </w:t>
      </w:r>
    </w:p>
  </w:footnote>
  <w:footnote w:id="7">
    <w:p w:rsidR="003A51DE" w:rsidRPr="0034042F" w:rsidRDefault="003A51DE" w:rsidP="00137A1F">
      <w:pPr>
        <w:spacing w:after="0"/>
        <w:jc w:val="both"/>
        <w:outlineLvl w:val="0"/>
        <w:rPr>
          <w:rFonts w:cstheme="minorHAnsi"/>
          <w:sz w:val="20"/>
          <w:szCs w:val="20"/>
          <w:lang w:val="sr-Latn-CS"/>
        </w:rPr>
      </w:pPr>
      <w:r w:rsidRPr="0034042F">
        <w:rPr>
          <w:rStyle w:val="FootnoteReference"/>
          <w:rFonts w:cstheme="minorHAnsi"/>
          <w:sz w:val="20"/>
          <w:szCs w:val="20"/>
          <w:lang w:val="sr-Latn-CS"/>
        </w:rPr>
        <w:footnoteRef/>
      </w:r>
      <w:r w:rsidRPr="0034042F">
        <w:rPr>
          <w:rFonts w:cstheme="minorHAnsi"/>
          <w:sz w:val="20"/>
          <w:szCs w:val="20"/>
          <w:lang w:val="sr-Latn-CS"/>
        </w:rPr>
        <w:t xml:space="preserve"> D. Boffey, ‘Food brands 'cheat' eastern European shoppers with inferior products’, The Guardian, 15 September 2017.</w:t>
      </w:r>
    </w:p>
  </w:footnote>
  <w:footnote w:id="8">
    <w:p w:rsidR="003A51DE" w:rsidRPr="0034042F" w:rsidRDefault="003A51DE" w:rsidP="00137A1F">
      <w:pPr>
        <w:pStyle w:val="FootnoteText"/>
        <w:rPr>
          <w:rFonts w:asciiTheme="minorHAnsi" w:hAnsiTheme="minorHAnsi" w:cstheme="minorHAnsi"/>
          <w:bCs/>
          <w:kern w:val="36"/>
          <w:lang w:val="sr-Latn-CS" w:eastAsia="en-GB"/>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P. Tamma, </w:t>
      </w:r>
      <w:r w:rsidRPr="0034042F">
        <w:rPr>
          <w:rFonts w:asciiTheme="minorHAnsi" w:hAnsiTheme="minorHAnsi" w:cstheme="minorHAnsi"/>
          <w:bCs/>
          <w:kern w:val="36"/>
          <w:lang w:val="sr-Latn-CS" w:eastAsia="en-GB"/>
        </w:rPr>
        <w:t xml:space="preserve">‘No second class consumers: Juncker slams double food quality in the EU’, EurActiv, 13 September 2017. </w:t>
      </w:r>
    </w:p>
  </w:footnote>
  <w:footnote w:id="9">
    <w:p w:rsidR="003A51DE" w:rsidRPr="0034042F" w:rsidRDefault="003A51DE" w:rsidP="002E42BF">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Različit tretman i dualni standardi su rasprostranjeni širom EU. Na primer, EU/Zapad nije priznao referendum Katalonije 2017. godine </w:t>
      </w:r>
      <w:r w:rsidR="00CF3B8D" w:rsidRPr="0034042F">
        <w:rPr>
          <w:rFonts w:asciiTheme="minorHAnsi" w:hAnsiTheme="minorHAnsi" w:cstheme="minorHAnsi"/>
          <w:lang w:val="sr-Latn-CS"/>
        </w:rPr>
        <w:t>o</w:t>
      </w:r>
      <w:r w:rsidRPr="0034042F">
        <w:rPr>
          <w:rFonts w:asciiTheme="minorHAnsi" w:hAnsiTheme="minorHAnsi" w:cstheme="minorHAnsi"/>
          <w:lang w:val="sr-Latn-CS"/>
        </w:rPr>
        <w:t xml:space="preserve"> nezavisnost</w:t>
      </w:r>
      <w:r w:rsidR="00CF3B8D" w:rsidRPr="0034042F">
        <w:rPr>
          <w:rFonts w:asciiTheme="minorHAnsi" w:hAnsiTheme="minorHAnsi" w:cstheme="minorHAnsi"/>
          <w:lang w:val="sr-Latn-CS"/>
        </w:rPr>
        <w:t>i</w:t>
      </w:r>
      <w:r w:rsidRPr="0034042F">
        <w:rPr>
          <w:rFonts w:asciiTheme="minorHAnsi" w:hAnsiTheme="minorHAnsi" w:cstheme="minorHAnsi"/>
          <w:lang w:val="sr-Latn-CS"/>
        </w:rPr>
        <w:t xml:space="preserve"> od Španije. Osnove za ovakvu odluku baziraju se na činjenici da katalonski referendum nije zasnovan na španskom ustavu i pravu. Škotski referendum za nezavisnost 2014. godine (iako je rezultat bio negativan) bio je priznat jer se temeljio na pravu i političkoj saglasnosti Velike Britanije. Na drugom</w:t>
      </w:r>
      <w:r w:rsidRPr="0034042F">
        <w:rPr>
          <w:rFonts w:asciiTheme="minorHAnsi" w:hAnsiTheme="minorHAnsi"/>
          <w:lang w:val="sr-Latn-CS"/>
        </w:rPr>
        <w:t xml:space="preserve"> </w:t>
      </w:r>
      <w:r w:rsidRPr="0034042F">
        <w:rPr>
          <w:rFonts w:asciiTheme="minorHAnsi" w:hAnsiTheme="minorHAnsi" w:cstheme="minorHAnsi"/>
          <w:lang w:val="sr-Latn-CS"/>
        </w:rPr>
        <w:t xml:space="preserve">mestu, Bosna i Hercegovina su održale referendum o nezavisnosti (od Jugoslavije) 1992. godine. Ustav ove </w:t>
      </w:r>
      <w:r w:rsidR="00CF3B8D" w:rsidRPr="0034042F">
        <w:rPr>
          <w:rFonts w:asciiTheme="minorHAnsi" w:hAnsiTheme="minorHAnsi" w:cstheme="minorHAnsi"/>
          <w:lang w:val="sr-Latn-CS"/>
        </w:rPr>
        <w:t>države zahtevao je da za takav odsudni</w:t>
      </w:r>
      <w:r w:rsidRPr="0034042F">
        <w:rPr>
          <w:rFonts w:asciiTheme="minorHAnsi" w:hAnsiTheme="minorHAnsi" w:cstheme="minorHAnsi"/>
          <w:lang w:val="sr-Latn-CS"/>
        </w:rPr>
        <w:t xml:space="preserve"> politički potez mora postojati saglasnost sva tri konstitutivna naroda (Srba, Hrvata i Muslimana (samo što su Muslimani kasnije rebrendirani kao Bosanci)). Taj konsenzus nije postignut. Ipak, B</w:t>
      </w:r>
      <w:r w:rsidR="00CF3B8D" w:rsidRPr="0034042F">
        <w:rPr>
          <w:rFonts w:asciiTheme="minorHAnsi" w:hAnsiTheme="minorHAnsi" w:cstheme="minorHAnsi"/>
          <w:lang w:val="sr-Latn-CS"/>
        </w:rPr>
        <w:t>osna</w:t>
      </w:r>
      <w:r w:rsidRPr="0034042F">
        <w:rPr>
          <w:rFonts w:asciiTheme="minorHAnsi" w:hAnsiTheme="minorHAnsi" w:cstheme="minorHAnsi"/>
          <w:lang w:val="sr-Latn-CS"/>
        </w:rPr>
        <w:t xml:space="preserve"> i Hercegovin</w:t>
      </w:r>
      <w:r w:rsidR="00CF3B8D" w:rsidRPr="0034042F">
        <w:rPr>
          <w:rFonts w:asciiTheme="minorHAnsi" w:hAnsiTheme="minorHAnsi" w:cstheme="minorHAnsi"/>
          <w:lang w:val="sr-Latn-CS"/>
        </w:rPr>
        <w:t>a je</w:t>
      </w:r>
      <w:r w:rsidRPr="0034042F">
        <w:rPr>
          <w:rFonts w:asciiTheme="minorHAnsi" w:hAnsiTheme="minorHAnsi" w:cstheme="minorHAnsi"/>
          <w:lang w:val="sr-Latn-CS"/>
        </w:rPr>
        <w:t xml:space="preserve"> </w:t>
      </w:r>
      <w:r w:rsidRPr="0034042F">
        <w:rPr>
          <w:rFonts w:asciiTheme="minorHAnsi" w:hAnsiTheme="minorHAnsi" w:cstheme="minorHAnsi"/>
          <w:i/>
          <w:lang w:val="sr-Latn-CS"/>
        </w:rPr>
        <w:t>unilateralno</w:t>
      </w:r>
      <w:r w:rsidRPr="0034042F">
        <w:rPr>
          <w:rFonts w:asciiTheme="minorHAnsi" w:hAnsiTheme="minorHAnsi" w:cstheme="minorHAnsi"/>
          <w:lang w:val="sr-Latn-CS"/>
        </w:rPr>
        <w:t xml:space="preserve"> progla</w:t>
      </w:r>
      <w:r w:rsidR="00CF3B8D" w:rsidRPr="0034042F">
        <w:rPr>
          <w:rFonts w:asciiTheme="minorHAnsi" w:hAnsiTheme="minorHAnsi" w:cstheme="minorHAnsi"/>
          <w:lang w:val="sr-Latn-CS"/>
        </w:rPr>
        <w:t>sila</w:t>
      </w:r>
      <w:r w:rsidRPr="0034042F">
        <w:rPr>
          <w:rFonts w:asciiTheme="minorHAnsi" w:hAnsiTheme="minorHAnsi" w:cstheme="minorHAnsi"/>
          <w:lang w:val="sr-Latn-CS"/>
        </w:rPr>
        <w:t xml:space="preserve"> nezavisnost države. Čak iako referendum za nezavisnost, kao i njegov ishod, nije bio legalan, te iste države Zapadne Evrope proglasile su ga validnim. Desio se međunarodni presedan. Krvavi građanski rat je trajao tri godine. Postojeća disfunkcionalna Bosna i Hercegovina ima neizvesnu budućnost, njena interna kohezija je blizu nule, međutim, ona će nastaviti da postoji sve dok postoji strani pritisak sa vojnim prisustvom. </w:t>
      </w:r>
    </w:p>
    <w:p w:rsidR="003A51DE" w:rsidRPr="0034042F" w:rsidRDefault="003A51DE" w:rsidP="002E42BF">
      <w:pPr>
        <w:pStyle w:val="FootnoteText"/>
        <w:rPr>
          <w:rFonts w:asciiTheme="minorHAnsi" w:hAnsiTheme="minorHAnsi" w:cstheme="minorHAnsi"/>
          <w:lang w:val="sr-Latn-CS"/>
        </w:rPr>
      </w:pPr>
      <w:r w:rsidRPr="0034042F">
        <w:rPr>
          <w:rFonts w:asciiTheme="minorHAnsi" w:hAnsiTheme="minorHAnsi" w:cstheme="minorHAnsi"/>
          <w:lang w:val="sr-Latn-CS"/>
        </w:rPr>
        <w:t>Zanimljivo je i zabrinjavajuće da države koje imaju pravni sistem koji se zasniva na presedan</w:t>
      </w:r>
      <w:r w:rsidR="00CF3B8D" w:rsidRPr="0034042F">
        <w:rPr>
          <w:rFonts w:asciiTheme="minorHAnsi" w:hAnsiTheme="minorHAnsi" w:cstheme="minorHAnsi"/>
          <w:lang w:val="sr-Latn-CS"/>
        </w:rPr>
        <w:t>u stvaraju presedan i kasnije</w:t>
      </w:r>
      <w:r w:rsidRPr="0034042F">
        <w:rPr>
          <w:rFonts w:asciiTheme="minorHAnsi" w:hAnsiTheme="minorHAnsi" w:cstheme="minorHAnsi"/>
          <w:lang w:val="sr-Latn-CS"/>
        </w:rPr>
        <w:t xml:space="preserve"> ističu da takav presedan nije </w:t>
      </w:r>
      <w:r w:rsidR="00CF3B8D" w:rsidRPr="0034042F">
        <w:rPr>
          <w:rFonts w:asciiTheme="minorHAnsi" w:hAnsiTheme="minorHAnsi" w:cstheme="minorHAnsi"/>
          <w:lang w:val="sr-Latn-CS"/>
        </w:rPr>
        <w:t xml:space="preserve">u stvari </w:t>
      </w:r>
      <w:r w:rsidRPr="0034042F">
        <w:rPr>
          <w:rFonts w:asciiTheme="minorHAnsi" w:hAnsiTheme="minorHAnsi" w:cstheme="minorHAnsi"/>
          <w:lang w:val="sr-Latn-CS"/>
        </w:rPr>
        <w:t>presedan!</w:t>
      </w:r>
    </w:p>
    <w:p w:rsidR="003A51DE" w:rsidRPr="0034042F" w:rsidRDefault="003A51DE" w:rsidP="002E42BF">
      <w:pPr>
        <w:pStyle w:val="FootnoteText"/>
        <w:rPr>
          <w:rFonts w:asciiTheme="minorHAnsi" w:hAnsiTheme="minorHAnsi" w:cstheme="minorHAnsi"/>
          <w:lang w:val="sr-Latn-CS"/>
        </w:rPr>
      </w:pPr>
      <w:r w:rsidRPr="0034042F">
        <w:rPr>
          <w:rFonts w:asciiTheme="minorHAnsi" w:hAnsiTheme="minorHAnsi" w:cstheme="minorHAnsi"/>
          <w:lang w:val="sr-Latn-CS"/>
        </w:rPr>
        <w:t>For the record: international law recognises unilateral declaration of independence only to former colonies. As for the EU, the Lisbon Treaty, Article 4.2 reads on territorial integrity.</w:t>
      </w:r>
    </w:p>
  </w:footnote>
  <w:footnote w:id="10">
    <w:p w:rsidR="003A51DE" w:rsidRPr="0034042F" w:rsidRDefault="003A51DE" w:rsidP="002E42BF">
      <w:pPr>
        <w:spacing w:after="0"/>
        <w:jc w:val="both"/>
        <w:rPr>
          <w:rFonts w:cstheme="minorHAnsi"/>
          <w:sz w:val="20"/>
          <w:szCs w:val="20"/>
          <w:lang w:val="sr-Latn-CS"/>
        </w:rPr>
      </w:pPr>
      <w:r w:rsidRPr="0034042F">
        <w:rPr>
          <w:rStyle w:val="FootnoteCharacters"/>
          <w:rFonts w:cstheme="minorHAnsi"/>
          <w:sz w:val="20"/>
          <w:szCs w:val="20"/>
          <w:lang w:val="sr-Latn-CS"/>
        </w:rPr>
        <w:footnoteRef/>
      </w:r>
      <w:r w:rsidRPr="0034042F">
        <w:rPr>
          <w:rFonts w:cstheme="minorHAnsi"/>
          <w:sz w:val="20"/>
          <w:szCs w:val="20"/>
          <w:lang w:val="sr-Latn-CS"/>
        </w:rPr>
        <w:t xml:space="preserve"> N. Buckley, ‘Cool reception on arrival; Croatia’, Financial Times, 26 June 2013. </w:t>
      </w:r>
    </w:p>
  </w:footnote>
  <w:footnote w:id="11">
    <w:p w:rsidR="003A51DE" w:rsidRPr="0034042F" w:rsidRDefault="003A51DE" w:rsidP="002E42BF">
      <w:pPr>
        <w:spacing w:after="0"/>
        <w:jc w:val="both"/>
        <w:rPr>
          <w:rFonts w:cstheme="minorHAnsi"/>
          <w:sz w:val="20"/>
          <w:szCs w:val="20"/>
          <w:lang w:val="sr-Latn-CS"/>
        </w:rPr>
      </w:pPr>
      <w:r w:rsidRPr="0034042F">
        <w:rPr>
          <w:rStyle w:val="FootnoteReference"/>
          <w:rFonts w:cstheme="minorHAnsi"/>
          <w:sz w:val="20"/>
          <w:szCs w:val="20"/>
          <w:lang w:val="sr-Latn-CS"/>
        </w:rPr>
        <w:footnoteRef/>
      </w:r>
      <w:r w:rsidRPr="0034042F">
        <w:rPr>
          <w:rFonts w:cstheme="minorHAnsi"/>
          <w:sz w:val="20"/>
          <w:szCs w:val="20"/>
          <w:lang w:val="sr-Latn-CS"/>
        </w:rPr>
        <w:t xml:space="preserve"> G. Gotev, ‘Britain to offer €20 billion for Brexit divorce bill’, EurActiv, 20 September 2017.</w:t>
      </w:r>
    </w:p>
  </w:footnote>
  <w:footnote w:id="12">
    <w:p w:rsidR="003A51DE" w:rsidRPr="0034042F" w:rsidRDefault="003A51DE" w:rsidP="002E42BF">
      <w:pPr>
        <w:pStyle w:val="Heading1"/>
        <w:spacing w:before="0"/>
        <w:jc w:val="both"/>
        <w:rPr>
          <w:rFonts w:asciiTheme="minorHAnsi" w:hAnsiTheme="minorHAnsi" w:cs="Times New Roman"/>
          <w:bCs/>
          <w:color w:val="auto"/>
          <w:kern w:val="36"/>
          <w:sz w:val="20"/>
          <w:szCs w:val="20"/>
          <w:lang w:val="sr-Latn-CS" w:eastAsia="en-GB"/>
        </w:rPr>
      </w:pPr>
      <w:r w:rsidRPr="0034042F">
        <w:rPr>
          <w:rStyle w:val="FootnoteReference"/>
          <w:rFonts w:asciiTheme="minorHAnsi" w:hAnsiTheme="minorHAnsi" w:cstheme="minorHAnsi"/>
          <w:color w:val="auto"/>
          <w:sz w:val="20"/>
          <w:szCs w:val="20"/>
          <w:lang w:val="sr-Latn-CS"/>
        </w:rPr>
        <w:footnoteRef/>
      </w:r>
      <w:r w:rsidRPr="0034042F">
        <w:rPr>
          <w:rFonts w:asciiTheme="minorHAnsi" w:hAnsiTheme="minorHAnsi" w:cstheme="minorHAnsi"/>
          <w:color w:val="auto"/>
          <w:sz w:val="20"/>
          <w:szCs w:val="20"/>
          <w:lang w:val="sr-Latn-CS"/>
        </w:rPr>
        <w:t xml:space="preserve"> S. Jenkins, ‘</w:t>
      </w:r>
      <w:r w:rsidRPr="0034042F">
        <w:rPr>
          <w:rFonts w:asciiTheme="minorHAnsi" w:hAnsiTheme="minorHAnsi" w:cstheme="minorHAnsi"/>
          <w:bCs/>
          <w:color w:val="auto"/>
          <w:kern w:val="36"/>
          <w:sz w:val="20"/>
          <w:szCs w:val="20"/>
          <w:lang w:val="sr-Latn-CS" w:eastAsia="en-GB"/>
        </w:rPr>
        <w:t>Why are 40 hardline MPs setting the tone of the Brexit debate?’, The Guardian, 8 September 2017.</w:t>
      </w:r>
    </w:p>
  </w:footnote>
  <w:footnote w:id="13">
    <w:p w:rsidR="003A51DE" w:rsidRPr="0034042F" w:rsidRDefault="003A51DE" w:rsidP="002E42BF">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G. Friedman, ‘The EU: Authoritarianism through complexity’, Geopolitical Futures’ 24 July 2017.</w:t>
      </w:r>
    </w:p>
  </w:footnote>
  <w:footnote w:id="14">
    <w:p w:rsidR="003A51DE" w:rsidRPr="0034042F" w:rsidRDefault="003A51DE" w:rsidP="002E42BF">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W. Munchau, ‘Brexit still poses a threat to long-term European unity’, Financial Times, 28 August 2017. </w:t>
      </w:r>
    </w:p>
  </w:footnote>
  <w:footnote w:id="15">
    <w:p w:rsidR="003A51DE" w:rsidRPr="0034042F" w:rsidRDefault="003A51DE" w:rsidP="002E42BF">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I Krim i Katalonija su se pozitivno izjasnili na referendumu o nezavisnosti. Ovi referendumi nisu bili međunarodno priznati. Kosovo </w:t>
      </w:r>
      <w:r w:rsidRPr="0034042F">
        <w:rPr>
          <w:rFonts w:asciiTheme="minorHAnsi" w:hAnsiTheme="minorHAnsi" w:cstheme="minorHAnsi"/>
          <w:i/>
          <w:lang w:val="sr-Latn-CS"/>
        </w:rPr>
        <w:t>nije</w:t>
      </w:r>
      <w:r w:rsidRPr="0034042F">
        <w:rPr>
          <w:rFonts w:asciiTheme="minorHAnsi" w:hAnsiTheme="minorHAnsi" w:cstheme="minorHAnsi"/>
          <w:lang w:val="sr-Latn-CS"/>
        </w:rPr>
        <w:t xml:space="preserve"> imalo nikakav referendum o suverenitetu (odvajanju od Srbije) i unilateralno je proglašena nezavisnost. Većina država u svetu je priznala nezavisnost Kosova. Šta ovo nalaže regionima mnogih zemalja u EU i svetu koji imaju ideju o nezavisnosti? Kako bi postigli uspeh, da li treba da se ponašaju kao Katalonija ili kao Kosovo?  </w:t>
      </w:r>
    </w:p>
  </w:footnote>
  <w:footnote w:id="16">
    <w:p w:rsidR="003A51DE" w:rsidRPr="0034042F" w:rsidRDefault="003A51DE" w:rsidP="002E42BF">
      <w:pPr>
        <w:pStyle w:val="Heading1"/>
        <w:spacing w:before="0"/>
        <w:rPr>
          <w:rFonts w:asciiTheme="minorHAnsi" w:hAnsiTheme="minorHAnsi" w:cs="Times New Roman"/>
          <w:bCs/>
          <w:color w:val="auto"/>
          <w:sz w:val="20"/>
          <w:szCs w:val="20"/>
          <w:lang w:val="sr-Latn-CS"/>
        </w:rPr>
      </w:pPr>
      <w:r w:rsidRPr="0034042F">
        <w:rPr>
          <w:rStyle w:val="FootnoteReference"/>
          <w:rFonts w:asciiTheme="minorHAnsi" w:hAnsiTheme="minorHAnsi" w:cstheme="minorHAnsi"/>
          <w:color w:val="auto"/>
          <w:sz w:val="20"/>
          <w:szCs w:val="20"/>
          <w:lang w:val="sr-Latn-CS"/>
        </w:rPr>
        <w:footnoteRef/>
      </w:r>
      <w:r w:rsidRPr="0034042F">
        <w:rPr>
          <w:rFonts w:asciiTheme="minorHAnsi" w:hAnsiTheme="minorHAnsi" w:cstheme="minorHAnsi"/>
          <w:color w:val="auto"/>
          <w:sz w:val="20"/>
          <w:szCs w:val="20"/>
          <w:lang w:val="sr-Latn-CS"/>
        </w:rPr>
        <w:t xml:space="preserve"> A. Evans-Pritchard, ‘</w:t>
      </w:r>
      <w:r w:rsidRPr="0034042F">
        <w:rPr>
          <w:rFonts w:asciiTheme="minorHAnsi" w:hAnsiTheme="minorHAnsi" w:cstheme="minorHAnsi"/>
          <w:bCs/>
          <w:color w:val="auto"/>
          <w:sz w:val="20"/>
          <w:szCs w:val="20"/>
          <w:lang w:val="sr-Latn-CS"/>
        </w:rPr>
        <w:t xml:space="preserve">Triumphant Brussels likens Brexit to the Third Reich, The Telegraph, 9 September 2017. </w:t>
      </w:r>
    </w:p>
  </w:footnote>
  <w:footnote w:id="17">
    <w:p w:rsidR="003A51DE" w:rsidRPr="0034042F" w:rsidRDefault="003A51DE" w:rsidP="00406AB8">
      <w:pPr>
        <w:pStyle w:val="FootnoteText"/>
        <w:rPr>
          <w:rFonts w:asciiTheme="minorHAnsi" w:hAnsiTheme="minorHAnsi" w:cstheme="minorHAnsi"/>
          <w:lang w:val="sr-Latn-CS"/>
        </w:rPr>
      </w:pPr>
      <w:r w:rsidRPr="0034042F">
        <w:rPr>
          <w:rStyle w:val="FootnoteReference"/>
          <w:rFonts w:asciiTheme="minorHAnsi" w:hAnsiTheme="minorHAnsi" w:cstheme="minorHAnsi"/>
          <w:lang w:val="sr-Latn-CS"/>
        </w:rPr>
        <w:footnoteRef/>
      </w:r>
      <w:r w:rsidRPr="0034042F">
        <w:rPr>
          <w:rFonts w:asciiTheme="minorHAnsi" w:hAnsiTheme="minorHAnsi" w:cstheme="minorHAnsi"/>
          <w:lang w:val="sr-Latn-CS"/>
        </w:rPr>
        <w:t xml:space="preserve"> </w:t>
      </w:r>
      <w:hyperlink r:id="rId1" w:history="1">
        <w:r w:rsidRPr="0034042F">
          <w:rPr>
            <w:rStyle w:val="Hyperlink"/>
            <w:rFonts w:asciiTheme="minorHAnsi" w:hAnsiTheme="minorHAnsi" w:cstheme="minorHAnsi"/>
            <w:lang w:val="sr-Latn-CS"/>
          </w:rPr>
          <w:t>https://ec.europa.eu/commission/sites/beta-political/files/white_paper_on_the_future_of_europe_en.pdf</w:t>
        </w:r>
      </w:hyperlink>
      <w:r w:rsidRPr="0034042F">
        <w:rPr>
          <w:rFonts w:asciiTheme="minorHAnsi" w:hAnsiTheme="minorHAnsi" w:cstheme="minorHAnsi"/>
          <w:lang w:val="sr-Latn-CS"/>
        </w:rPr>
        <w:t xml:space="preserve"> </w:t>
      </w:r>
    </w:p>
  </w:footnote>
  <w:footnote w:id="18">
    <w:p w:rsidR="003A51DE" w:rsidRPr="0034042F" w:rsidRDefault="003A51DE" w:rsidP="00406AB8">
      <w:pPr>
        <w:pStyle w:val="Heading1"/>
        <w:spacing w:before="0"/>
        <w:jc w:val="both"/>
        <w:rPr>
          <w:rFonts w:asciiTheme="minorHAnsi" w:hAnsiTheme="minorHAnsi" w:cstheme="minorHAnsi"/>
          <w:color w:val="auto"/>
          <w:sz w:val="20"/>
          <w:szCs w:val="20"/>
          <w:lang w:val="sr-Latn-CS"/>
        </w:rPr>
      </w:pPr>
      <w:r w:rsidRPr="0034042F">
        <w:rPr>
          <w:rStyle w:val="FootnoteReference"/>
          <w:rFonts w:asciiTheme="minorHAnsi" w:hAnsiTheme="minorHAnsi" w:cstheme="minorHAnsi"/>
          <w:color w:val="auto"/>
          <w:sz w:val="20"/>
          <w:szCs w:val="20"/>
          <w:lang w:val="sr-Latn-CS"/>
        </w:rPr>
        <w:footnoteRef/>
      </w:r>
      <w:r w:rsidRPr="0034042F">
        <w:rPr>
          <w:rFonts w:asciiTheme="minorHAnsi" w:hAnsiTheme="minorHAnsi" w:cstheme="minorHAnsi"/>
          <w:color w:val="auto"/>
          <w:sz w:val="20"/>
          <w:szCs w:val="20"/>
          <w:lang w:val="sr-Latn-CS"/>
        </w:rPr>
        <w:t xml:space="preserve"> C. Bremner, ‘Emmanuel Macron lays out dream of closer ties for EU nations’, The Times, 26 September 2017. </w:t>
      </w:r>
    </w:p>
  </w:footnote>
  <w:footnote w:id="19">
    <w:p w:rsidR="003A51DE" w:rsidRPr="0034042F" w:rsidRDefault="003A51DE" w:rsidP="006A0361">
      <w:pPr>
        <w:spacing w:after="0"/>
        <w:rPr>
          <w:rFonts w:cstheme="minorHAnsi"/>
          <w:sz w:val="20"/>
          <w:szCs w:val="20"/>
          <w:lang w:val="sr-Latn-CS"/>
        </w:rPr>
      </w:pPr>
      <w:r w:rsidRPr="0034042F">
        <w:rPr>
          <w:rStyle w:val="FootnoteReference"/>
          <w:rFonts w:cstheme="minorHAnsi"/>
          <w:sz w:val="20"/>
          <w:szCs w:val="20"/>
          <w:lang w:val="sr-Latn-CS"/>
        </w:rPr>
        <w:footnoteRef/>
      </w:r>
      <w:r w:rsidRPr="0034042F">
        <w:rPr>
          <w:rFonts w:cstheme="minorHAnsi"/>
          <w:sz w:val="20"/>
          <w:szCs w:val="20"/>
          <w:lang w:val="sr-Latn-CS"/>
        </w:rPr>
        <w:t xml:space="preserve"> </w:t>
      </w:r>
      <w:r w:rsidRPr="0034042F">
        <w:rPr>
          <w:rFonts w:cstheme="minorHAnsi"/>
          <w:bCs/>
          <w:kern w:val="36"/>
          <w:sz w:val="20"/>
          <w:szCs w:val="20"/>
          <w:lang w:val="sr-Latn-CS" w:eastAsia="en-GB"/>
        </w:rPr>
        <w:t xml:space="preserve">J. Rankin, ‘Jean-Claude Juncker: EU is facing existential crisis’, </w:t>
      </w:r>
      <w:r w:rsidRPr="0034042F">
        <w:rPr>
          <w:rFonts w:cstheme="minorHAnsi"/>
          <w:sz w:val="20"/>
          <w:szCs w:val="20"/>
          <w:lang w:val="sr-Latn-CS"/>
        </w:rPr>
        <w:t>The Guardian, 13 September 2016.</w:t>
      </w:r>
    </w:p>
    <w:p w:rsidR="006A0361" w:rsidRPr="0034042F" w:rsidRDefault="006A0361" w:rsidP="006A0361">
      <w:pPr>
        <w:spacing w:after="0"/>
        <w:rPr>
          <w:rFonts w:cstheme="minorHAnsi"/>
          <w:sz w:val="20"/>
          <w:szCs w:val="20"/>
          <w:lang w:val="sr-Latn-CS"/>
        </w:rPr>
      </w:pPr>
      <w:r w:rsidRPr="0034042F">
        <w:rPr>
          <w:rFonts w:cstheme="minorHAnsi"/>
          <w:sz w:val="20"/>
          <w:szCs w:val="20"/>
          <w:lang w:val="sr-Latn-CS"/>
        </w:rPr>
        <w:t>K. von Hammerstein, ’Militärplaner halten Zerfall der EU für denkbar’, Der Spiegel, 04.11.2017.</w:t>
      </w:r>
    </w:p>
    <w:p w:rsidR="006A0361" w:rsidRPr="0034042F" w:rsidRDefault="006A0361" w:rsidP="006A0361">
      <w:pPr>
        <w:spacing w:after="0"/>
        <w:rPr>
          <w:rFonts w:cstheme="minorHAnsi"/>
          <w:sz w:val="20"/>
          <w:szCs w:val="20"/>
          <w:lang w:val="sr-Latn-CS"/>
        </w:rPr>
      </w:pPr>
      <w:r w:rsidRPr="0034042F">
        <w:rPr>
          <w:rFonts w:cstheme="minorHAnsi"/>
          <w:sz w:val="20"/>
          <w:szCs w:val="20"/>
          <w:lang w:val="sr-Latn-CS"/>
        </w:rPr>
        <w:t>P. Mason, ’The Germans are making contigency plans for the collapse of Europe. Let’s hope we are too’, The Guardian, 6 November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DE" w:rsidRDefault="003A5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38E8"/>
    <w:multiLevelType w:val="multilevel"/>
    <w:tmpl w:val="3DBE1EE6"/>
    <w:lvl w:ilvl="0">
      <w:start w:val="3"/>
      <w:numFmt w:val="bullet"/>
      <w:lvlText w:val="-"/>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
    <w:nsid w:val="1B583214"/>
    <w:multiLevelType w:val="multilevel"/>
    <w:tmpl w:val="484E55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97E77FE"/>
    <w:multiLevelType w:val="multilevel"/>
    <w:tmpl w:val="484E55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370E65AC"/>
    <w:multiLevelType w:val="hybridMultilevel"/>
    <w:tmpl w:val="846A46F0"/>
    <w:lvl w:ilvl="0" w:tplc="18BC4A8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25479B"/>
    <w:multiLevelType w:val="multilevel"/>
    <w:tmpl w:val="1B4E00D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D478DE"/>
    <w:multiLevelType w:val="multilevel"/>
    <w:tmpl w:val="7C30C72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57077AC4"/>
    <w:multiLevelType w:val="multilevel"/>
    <w:tmpl w:val="1B4E00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8E02B92"/>
    <w:multiLevelType w:val="multilevel"/>
    <w:tmpl w:val="7C30C72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706119A9"/>
    <w:multiLevelType w:val="multilevel"/>
    <w:tmpl w:val="484E55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72C708B1"/>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8"/>
  </w:num>
  <w:num w:numId="4">
    <w:abstractNumId w:val="0"/>
  </w:num>
  <w:num w:numId="5">
    <w:abstractNumId w:val="6"/>
  </w:num>
  <w:num w:numId="6">
    <w:abstractNumId w:val="4"/>
  </w:num>
  <w:num w:numId="7">
    <w:abstractNumId w:val="5"/>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7E28A6"/>
    <w:rsid w:val="00000D1D"/>
    <w:rsid w:val="000147C6"/>
    <w:rsid w:val="00015F76"/>
    <w:rsid w:val="00024D05"/>
    <w:rsid w:val="00047B43"/>
    <w:rsid w:val="000661E6"/>
    <w:rsid w:val="00067CD9"/>
    <w:rsid w:val="00096902"/>
    <w:rsid w:val="000973A9"/>
    <w:rsid w:val="000A6E99"/>
    <w:rsid w:val="000B4094"/>
    <w:rsid w:val="000B7D68"/>
    <w:rsid w:val="000C3555"/>
    <w:rsid w:val="000D4D71"/>
    <w:rsid w:val="000D4DE8"/>
    <w:rsid w:val="000F17B1"/>
    <w:rsid w:val="001020D7"/>
    <w:rsid w:val="00121825"/>
    <w:rsid w:val="00137760"/>
    <w:rsid w:val="00137A1F"/>
    <w:rsid w:val="001407F5"/>
    <w:rsid w:val="00144EAA"/>
    <w:rsid w:val="00144FBC"/>
    <w:rsid w:val="00153DC6"/>
    <w:rsid w:val="00156741"/>
    <w:rsid w:val="00173340"/>
    <w:rsid w:val="001803CD"/>
    <w:rsid w:val="0018654C"/>
    <w:rsid w:val="001A3447"/>
    <w:rsid w:val="001A7680"/>
    <w:rsid w:val="001C493D"/>
    <w:rsid w:val="001D3FA1"/>
    <w:rsid w:val="001D5471"/>
    <w:rsid w:val="001E2D53"/>
    <w:rsid w:val="00205EA9"/>
    <w:rsid w:val="00211F5B"/>
    <w:rsid w:val="00217CE7"/>
    <w:rsid w:val="0022695B"/>
    <w:rsid w:val="00233717"/>
    <w:rsid w:val="00242D08"/>
    <w:rsid w:val="002542F1"/>
    <w:rsid w:val="00284B86"/>
    <w:rsid w:val="00285BB1"/>
    <w:rsid w:val="00291D8F"/>
    <w:rsid w:val="00292892"/>
    <w:rsid w:val="0029411D"/>
    <w:rsid w:val="002C14BF"/>
    <w:rsid w:val="002C7A45"/>
    <w:rsid w:val="002D7029"/>
    <w:rsid w:val="002E42BF"/>
    <w:rsid w:val="00303B6F"/>
    <w:rsid w:val="00311584"/>
    <w:rsid w:val="00317DE0"/>
    <w:rsid w:val="0032467C"/>
    <w:rsid w:val="0034042F"/>
    <w:rsid w:val="00371142"/>
    <w:rsid w:val="00377EA2"/>
    <w:rsid w:val="003A0B12"/>
    <w:rsid w:val="003A2233"/>
    <w:rsid w:val="003A51DE"/>
    <w:rsid w:val="003A67E3"/>
    <w:rsid w:val="003B7481"/>
    <w:rsid w:val="003D17DB"/>
    <w:rsid w:val="003E2C38"/>
    <w:rsid w:val="003F6E5D"/>
    <w:rsid w:val="003F71B4"/>
    <w:rsid w:val="00402E7C"/>
    <w:rsid w:val="00403716"/>
    <w:rsid w:val="00406AB8"/>
    <w:rsid w:val="004119D0"/>
    <w:rsid w:val="00422240"/>
    <w:rsid w:val="00424EA8"/>
    <w:rsid w:val="00435467"/>
    <w:rsid w:val="00440154"/>
    <w:rsid w:val="00454EB4"/>
    <w:rsid w:val="00455F0A"/>
    <w:rsid w:val="00456D01"/>
    <w:rsid w:val="00463B58"/>
    <w:rsid w:val="004A2833"/>
    <w:rsid w:val="004A6EA8"/>
    <w:rsid w:val="004D7CBB"/>
    <w:rsid w:val="004F3BBE"/>
    <w:rsid w:val="004F4393"/>
    <w:rsid w:val="004F4FD3"/>
    <w:rsid w:val="005057D1"/>
    <w:rsid w:val="00516970"/>
    <w:rsid w:val="00525109"/>
    <w:rsid w:val="005308CF"/>
    <w:rsid w:val="00544F14"/>
    <w:rsid w:val="0056016F"/>
    <w:rsid w:val="005623CD"/>
    <w:rsid w:val="00573E13"/>
    <w:rsid w:val="00582A73"/>
    <w:rsid w:val="005967AB"/>
    <w:rsid w:val="005A5AC0"/>
    <w:rsid w:val="005B3F74"/>
    <w:rsid w:val="005C5668"/>
    <w:rsid w:val="005D7285"/>
    <w:rsid w:val="005E331C"/>
    <w:rsid w:val="005F68CE"/>
    <w:rsid w:val="006202A7"/>
    <w:rsid w:val="00641091"/>
    <w:rsid w:val="006463B8"/>
    <w:rsid w:val="00666A59"/>
    <w:rsid w:val="0069362C"/>
    <w:rsid w:val="00697778"/>
    <w:rsid w:val="006A0361"/>
    <w:rsid w:val="006A1E2C"/>
    <w:rsid w:val="006B3171"/>
    <w:rsid w:val="006C38C2"/>
    <w:rsid w:val="006F720B"/>
    <w:rsid w:val="00700622"/>
    <w:rsid w:val="0071096B"/>
    <w:rsid w:val="00710E8D"/>
    <w:rsid w:val="007126CA"/>
    <w:rsid w:val="0073177B"/>
    <w:rsid w:val="00742219"/>
    <w:rsid w:val="00742FCA"/>
    <w:rsid w:val="00773158"/>
    <w:rsid w:val="00773C18"/>
    <w:rsid w:val="007757B7"/>
    <w:rsid w:val="007B0703"/>
    <w:rsid w:val="007C27A9"/>
    <w:rsid w:val="007E2066"/>
    <w:rsid w:val="007E28A6"/>
    <w:rsid w:val="00867998"/>
    <w:rsid w:val="008B5096"/>
    <w:rsid w:val="008E4AFE"/>
    <w:rsid w:val="008E64EA"/>
    <w:rsid w:val="008F6BC9"/>
    <w:rsid w:val="00900DF1"/>
    <w:rsid w:val="0090325F"/>
    <w:rsid w:val="00915BB2"/>
    <w:rsid w:val="00936826"/>
    <w:rsid w:val="0094144A"/>
    <w:rsid w:val="00970815"/>
    <w:rsid w:val="00985FDD"/>
    <w:rsid w:val="00986730"/>
    <w:rsid w:val="009901F8"/>
    <w:rsid w:val="009C4968"/>
    <w:rsid w:val="009C6E94"/>
    <w:rsid w:val="009D1391"/>
    <w:rsid w:val="009D2A80"/>
    <w:rsid w:val="009D2BCC"/>
    <w:rsid w:val="009D6908"/>
    <w:rsid w:val="009D71D2"/>
    <w:rsid w:val="009E01A1"/>
    <w:rsid w:val="009F35D9"/>
    <w:rsid w:val="00A11C6E"/>
    <w:rsid w:val="00A2608E"/>
    <w:rsid w:val="00A5421F"/>
    <w:rsid w:val="00AA4ECD"/>
    <w:rsid w:val="00AF2325"/>
    <w:rsid w:val="00AF2A8F"/>
    <w:rsid w:val="00B16CFB"/>
    <w:rsid w:val="00B247B9"/>
    <w:rsid w:val="00B30325"/>
    <w:rsid w:val="00B44E80"/>
    <w:rsid w:val="00B52BD2"/>
    <w:rsid w:val="00B7399B"/>
    <w:rsid w:val="00BA4902"/>
    <w:rsid w:val="00BB1554"/>
    <w:rsid w:val="00BB178D"/>
    <w:rsid w:val="00BB3A79"/>
    <w:rsid w:val="00BB3FC5"/>
    <w:rsid w:val="00BC0D64"/>
    <w:rsid w:val="00BF0B13"/>
    <w:rsid w:val="00BF104E"/>
    <w:rsid w:val="00C03664"/>
    <w:rsid w:val="00C04459"/>
    <w:rsid w:val="00C0665D"/>
    <w:rsid w:val="00C14388"/>
    <w:rsid w:val="00C214B7"/>
    <w:rsid w:val="00C27CA4"/>
    <w:rsid w:val="00C41EA6"/>
    <w:rsid w:val="00C54C32"/>
    <w:rsid w:val="00C5608B"/>
    <w:rsid w:val="00C74394"/>
    <w:rsid w:val="00C7556C"/>
    <w:rsid w:val="00CB005F"/>
    <w:rsid w:val="00CC493B"/>
    <w:rsid w:val="00CD000B"/>
    <w:rsid w:val="00CD2144"/>
    <w:rsid w:val="00CE61E2"/>
    <w:rsid w:val="00CF09AF"/>
    <w:rsid w:val="00CF3B8D"/>
    <w:rsid w:val="00D03E63"/>
    <w:rsid w:val="00D15A18"/>
    <w:rsid w:val="00D27CB1"/>
    <w:rsid w:val="00D32001"/>
    <w:rsid w:val="00D423FD"/>
    <w:rsid w:val="00D4617E"/>
    <w:rsid w:val="00D507F1"/>
    <w:rsid w:val="00D53786"/>
    <w:rsid w:val="00D54958"/>
    <w:rsid w:val="00D614BD"/>
    <w:rsid w:val="00D95F94"/>
    <w:rsid w:val="00DB3355"/>
    <w:rsid w:val="00DE363E"/>
    <w:rsid w:val="00DE5E8B"/>
    <w:rsid w:val="00DF41F9"/>
    <w:rsid w:val="00E32C3F"/>
    <w:rsid w:val="00E36FE8"/>
    <w:rsid w:val="00E54D1C"/>
    <w:rsid w:val="00E6451A"/>
    <w:rsid w:val="00E74054"/>
    <w:rsid w:val="00E863D9"/>
    <w:rsid w:val="00E91EEC"/>
    <w:rsid w:val="00E93A3F"/>
    <w:rsid w:val="00E95ED2"/>
    <w:rsid w:val="00EA33E3"/>
    <w:rsid w:val="00EB0A44"/>
    <w:rsid w:val="00EB60C9"/>
    <w:rsid w:val="00EF6EA6"/>
    <w:rsid w:val="00F01CC4"/>
    <w:rsid w:val="00F2743A"/>
    <w:rsid w:val="00F27FDC"/>
    <w:rsid w:val="00F32F2F"/>
    <w:rsid w:val="00F84C22"/>
    <w:rsid w:val="00F9436D"/>
    <w:rsid w:val="00F96919"/>
    <w:rsid w:val="00FB207F"/>
    <w:rsid w:val="00FB72CF"/>
    <w:rsid w:val="00FC016A"/>
    <w:rsid w:val="00FC1C3C"/>
    <w:rsid w:val="00FF18D5"/>
    <w:rsid w:val="00FF4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9"/>
  </w:style>
  <w:style w:type="paragraph" w:styleId="Heading1">
    <w:name w:val="heading 1"/>
    <w:basedOn w:val="Normal"/>
    <w:next w:val="Normal"/>
    <w:link w:val="Heading1Char"/>
    <w:qFormat/>
    <w:rsid w:val="00562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82A73"/>
    <w:pPr>
      <w:keepNext/>
      <w:spacing w:after="0" w:line="240" w:lineRule="auto"/>
      <w:jc w:val="both"/>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582A73"/>
    <w:pPr>
      <w:keepNext/>
      <w:spacing w:after="0" w:line="240" w:lineRule="auto"/>
      <w:jc w:val="both"/>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3 Char,Footnote Text Char2 Char1 Char Char,Footnote Text Char Char Char1 Char Char,Footnote Text Char1 Char1 Char Char Char,Footnote Text Char1 Char Char Char Char Char1 Char1,5"/>
    <w:basedOn w:val="Normal"/>
    <w:link w:val="FootnoteTextChar"/>
    <w:uiPriority w:val="99"/>
    <w:unhideWhenUsed/>
    <w:rsid w:val="00C04459"/>
    <w:pPr>
      <w:spacing w:after="0" w:line="240" w:lineRule="auto"/>
      <w:jc w:val="both"/>
    </w:pPr>
    <w:rPr>
      <w:rFonts w:ascii="Arial" w:eastAsia="Times New Roman" w:hAnsi="Arial" w:cs="Times New Roman"/>
      <w:sz w:val="20"/>
      <w:szCs w:val="20"/>
    </w:rPr>
  </w:style>
  <w:style w:type="character" w:customStyle="1" w:styleId="FootnoteTextChar">
    <w:name w:val="Footnote Text Char"/>
    <w:aliases w:val="5_G Char,Footnote Text Char1 Char,Footnote Text Char Char3 Char Char,Footnote Text Char2 Char1 Char Char Char,Footnote Text Char Char Char1 Char Char Char,Footnote Text Char1 Char1 Char Char Char Char,5 Char"/>
    <w:basedOn w:val="DefaultParagraphFont"/>
    <w:link w:val="FootnoteText"/>
    <w:uiPriority w:val="99"/>
    <w:rsid w:val="00C04459"/>
    <w:rPr>
      <w:rFonts w:ascii="Arial" w:eastAsia="Times New Roman" w:hAnsi="Arial" w:cs="Times New Roman"/>
      <w:sz w:val="20"/>
      <w:szCs w:val="20"/>
    </w:rPr>
  </w:style>
  <w:style w:type="character" w:styleId="FootnoteReference">
    <w:name w:val="footnote reference"/>
    <w:aliases w:val="4_G"/>
    <w:basedOn w:val="DefaultParagraphFont"/>
    <w:unhideWhenUsed/>
    <w:rsid w:val="00C04459"/>
    <w:rPr>
      <w:vertAlign w:val="superscript"/>
    </w:rPr>
  </w:style>
  <w:style w:type="character" w:customStyle="1" w:styleId="FootnoteCharacters">
    <w:name w:val="Footnote Characters"/>
    <w:rsid w:val="00F27FDC"/>
    <w:rPr>
      <w:vertAlign w:val="superscript"/>
    </w:rPr>
  </w:style>
  <w:style w:type="character" w:customStyle="1" w:styleId="Heading1Char">
    <w:name w:val="Heading 1 Char"/>
    <w:basedOn w:val="DefaultParagraphFont"/>
    <w:link w:val="Heading1"/>
    <w:rsid w:val="005623C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0147C6"/>
    <w:rPr>
      <w:color w:val="0000FF"/>
      <w:u w:val="single"/>
    </w:rPr>
  </w:style>
  <w:style w:type="paragraph" w:styleId="Header">
    <w:name w:val="header"/>
    <w:basedOn w:val="Normal"/>
    <w:link w:val="HeaderChar"/>
    <w:uiPriority w:val="99"/>
    <w:unhideWhenUsed/>
    <w:rsid w:val="00582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A73"/>
  </w:style>
  <w:style w:type="paragraph" w:styleId="Footer">
    <w:name w:val="footer"/>
    <w:basedOn w:val="Normal"/>
    <w:link w:val="FooterChar"/>
    <w:uiPriority w:val="99"/>
    <w:unhideWhenUsed/>
    <w:rsid w:val="00582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A73"/>
  </w:style>
  <w:style w:type="character" w:customStyle="1" w:styleId="Heading2Char">
    <w:name w:val="Heading 2 Char"/>
    <w:basedOn w:val="DefaultParagraphFont"/>
    <w:link w:val="Heading2"/>
    <w:rsid w:val="00582A73"/>
    <w:rPr>
      <w:rFonts w:ascii="Arial" w:eastAsia="Times New Roman" w:hAnsi="Arial" w:cs="Times New Roman"/>
      <w:b/>
      <w:szCs w:val="20"/>
      <w:lang w:val="en-US"/>
    </w:rPr>
  </w:style>
  <w:style w:type="character" w:customStyle="1" w:styleId="Heading3Char">
    <w:name w:val="Heading 3 Char"/>
    <w:basedOn w:val="DefaultParagraphFont"/>
    <w:link w:val="Heading3"/>
    <w:rsid w:val="00582A73"/>
    <w:rPr>
      <w:rFonts w:ascii="Arial" w:eastAsia="Times New Roman" w:hAnsi="Arial" w:cs="Times New Roman"/>
      <w:b/>
      <w:sz w:val="20"/>
      <w:szCs w:val="20"/>
      <w:lang w:val="en-US"/>
    </w:rPr>
  </w:style>
  <w:style w:type="character" w:styleId="PageNumber">
    <w:name w:val="page number"/>
    <w:basedOn w:val="DefaultParagraphFont"/>
    <w:semiHidden/>
    <w:rsid w:val="00582A73"/>
  </w:style>
  <w:style w:type="character" w:styleId="Strong">
    <w:name w:val="Strong"/>
    <w:basedOn w:val="DefaultParagraphFont"/>
    <w:qFormat/>
    <w:rsid w:val="00582A73"/>
    <w:rPr>
      <w:b/>
    </w:rPr>
  </w:style>
  <w:style w:type="paragraph" w:styleId="BodyText">
    <w:name w:val="Body Text"/>
    <w:basedOn w:val="Normal"/>
    <w:link w:val="BodyTextChar"/>
    <w:semiHidden/>
    <w:rsid w:val="00582A73"/>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582A73"/>
    <w:rPr>
      <w:rFonts w:ascii="Arial" w:eastAsia="Times New Roman" w:hAnsi="Arial" w:cs="Times New Roman"/>
      <w:sz w:val="20"/>
      <w:szCs w:val="20"/>
      <w:lang w:val="en-US"/>
    </w:rPr>
  </w:style>
  <w:style w:type="character" w:styleId="FollowedHyperlink">
    <w:name w:val="FollowedHyperlink"/>
    <w:basedOn w:val="DefaultParagraphFont"/>
    <w:uiPriority w:val="99"/>
    <w:semiHidden/>
    <w:rsid w:val="00582A73"/>
    <w:rPr>
      <w:color w:val="800080"/>
      <w:u w:val="single"/>
    </w:rPr>
  </w:style>
  <w:style w:type="paragraph" w:styleId="ListParagraph">
    <w:name w:val="List Paragraph"/>
    <w:basedOn w:val="Normal"/>
    <w:uiPriority w:val="34"/>
    <w:qFormat/>
    <w:rsid w:val="00582A73"/>
    <w:pPr>
      <w:spacing w:after="0" w:line="240" w:lineRule="auto"/>
      <w:ind w:left="720"/>
      <w:contextualSpacing/>
      <w:jc w:val="both"/>
    </w:pPr>
    <w:rPr>
      <w:rFonts w:ascii="Arial" w:eastAsia="Times New Roman" w:hAnsi="Arial" w:cs="Times New Roman"/>
      <w:szCs w:val="20"/>
    </w:rPr>
  </w:style>
  <w:style w:type="paragraph" w:styleId="NormalWeb">
    <w:name w:val="Normal (Web)"/>
    <w:basedOn w:val="Normal"/>
    <w:uiPriority w:val="99"/>
    <w:unhideWhenUsed/>
    <w:rsid w:val="00582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2A73"/>
    <w:rPr>
      <w:sz w:val="16"/>
      <w:szCs w:val="16"/>
    </w:rPr>
  </w:style>
  <w:style w:type="paragraph" w:styleId="CommentText">
    <w:name w:val="annotation text"/>
    <w:basedOn w:val="Normal"/>
    <w:link w:val="CommentTextChar"/>
    <w:uiPriority w:val="99"/>
    <w:semiHidden/>
    <w:unhideWhenUsed/>
    <w:rsid w:val="00582A73"/>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82A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2A73"/>
    <w:rPr>
      <w:b/>
      <w:bCs/>
    </w:rPr>
  </w:style>
  <w:style w:type="character" w:customStyle="1" w:styleId="CommentSubjectChar">
    <w:name w:val="Comment Subject Char"/>
    <w:basedOn w:val="CommentTextChar"/>
    <w:link w:val="CommentSubject"/>
    <w:uiPriority w:val="99"/>
    <w:semiHidden/>
    <w:rsid w:val="00582A7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82A73"/>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2A73"/>
    <w:rPr>
      <w:rFonts w:ascii="Tahoma" w:eastAsia="Times New Roman" w:hAnsi="Tahoma" w:cs="Tahoma"/>
      <w:sz w:val="16"/>
      <w:szCs w:val="16"/>
    </w:rPr>
  </w:style>
  <w:style w:type="character" w:customStyle="1" w:styleId="5mdd">
    <w:name w:val="_5mdd"/>
    <w:basedOn w:val="DefaultParagraphFont"/>
    <w:rsid w:val="00582A73"/>
  </w:style>
  <w:style w:type="numbering" w:customStyle="1" w:styleId="NoList1">
    <w:name w:val="No List1"/>
    <w:next w:val="NoList"/>
    <w:uiPriority w:val="99"/>
    <w:semiHidden/>
    <w:unhideWhenUsed/>
    <w:rsid w:val="00582A73"/>
  </w:style>
</w:styles>
</file>

<file path=word/webSettings.xml><?xml version="1.0" encoding="utf-8"?>
<w:webSettings xmlns:r="http://schemas.openxmlformats.org/officeDocument/2006/relationships" xmlns:w="http://schemas.openxmlformats.org/wordprocessingml/2006/main">
  <w:divs>
    <w:div w:id="843790151">
      <w:bodyDiv w:val="1"/>
      <w:marLeft w:val="0"/>
      <w:marRight w:val="0"/>
      <w:marTop w:val="0"/>
      <w:marBottom w:val="0"/>
      <w:divBdr>
        <w:top w:val="none" w:sz="0" w:space="0" w:color="auto"/>
        <w:left w:val="none" w:sz="0" w:space="0" w:color="auto"/>
        <w:bottom w:val="none" w:sz="0" w:space="0" w:color="auto"/>
        <w:right w:val="none" w:sz="0" w:space="0" w:color="auto"/>
      </w:divBdr>
      <w:divsChild>
        <w:div w:id="101653720">
          <w:marLeft w:val="0"/>
          <w:marRight w:val="0"/>
          <w:marTop w:val="0"/>
          <w:marBottom w:val="0"/>
          <w:divBdr>
            <w:top w:val="none" w:sz="0" w:space="0" w:color="auto"/>
            <w:left w:val="none" w:sz="0" w:space="0" w:color="auto"/>
            <w:bottom w:val="none" w:sz="0" w:space="0" w:color="auto"/>
            <w:right w:val="none" w:sz="0" w:space="0" w:color="auto"/>
          </w:divBdr>
          <w:divsChild>
            <w:div w:id="1492065148">
              <w:marLeft w:val="0"/>
              <w:marRight w:val="0"/>
              <w:marTop w:val="0"/>
              <w:marBottom w:val="0"/>
              <w:divBdr>
                <w:top w:val="none" w:sz="0" w:space="0" w:color="auto"/>
                <w:left w:val="none" w:sz="0" w:space="0" w:color="auto"/>
                <w:bottom w:val="none" w:sz="0" w:space="0" w:color="auto"/>
                <w:right w:val="none" w:sz="0" w:space="0" w:color="auto"/>
              </w:divBdr>
              <w:divsChild>
                <w:div w:id="484469329">
                  <w:marLeft w:val="0"/>
                  <w:marRight w:val="0"/>
                  <w:marTop w:val="0"/>
                  <w:marBottom w:val="0"/>
                  <w:divBdr>
                    <w:top w:val="none" w:sz="0" w:space="0" w:color="auto"/>
                    <w:left w:val="none" w:sz="0" w:space="0" w:color="auto"/>
                    <w:bottom w:val="none" w:sz="0" w:space="0" w:color="auto"/>
                    <w:right w:val="none" w:sz="0" w:space="0" w:color="auto"/>
                  </w:divBdr>
                  <w:divsChild>
                    <w:div w:id="879709046">
                      <w:marLeft w:val="0"/>
                      <w:marRight w:val="0"/>
                      <w:marTop w:val="0"/>
                      <w:marBottom w:val="0"/>
                      <w:divBdr>
                        <w:top w:val="none" w:sz="0" w:space="0" w:color="auto"/>
                        <w:left w:val="none" w:sz="0" w:space="0" w:color="auto"/>
                        <w:bottom w:val="none" w:sz="0" w:space="0" w:color="auto"/>
                        <w:right w:val="none" w:sz="0" w:space="0" w:color="auto"/>
                      </w:divBdr>
                    </w:div>
                  </w:divsChild>
                </w:div>
                <w:div w:id="745569458">
                  <w:marLeft w:val="0"/>
                  <w:marRight w:val="0"/>
                  <w:marTop w:val="0"/>
                  <w:marBottom w:val="0"/>
                  <w:divBdr>
                    <w:top w:val="none" w:sz="0" w:space="0" w:color="auto"/>
                    <w:left w:val="none" w:sz="0" w:space="0" w:color="auto"/>
                    <w:bottom w:val="none" w:sz="0" w:space="0" w:color="auto"/>
                    <w:right w:val="none" w:sz="0" w:space="0" w:color="auto"/>
                  </w:divBdr>
                  <w:divsChild>
                    <w:div w:id="13699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9080">
          <w:marLeft w:val="0"/>
          <w:marRight w:val="0"/>
          <w:marTop w:val="360"/>
          <w:marBottom w:val="0"/>
          <w:divBdr>
            <w:top w:val="none" w:sz="0" w:space="0" w:color="auto"/>
            <w:left w:val="none" w:sz="0" w:space="0" w:color="auto"/>
            <w:bottom w:val="none" w:sz="0" w:space="0" w:color="auto"/>
            <w:right w:val="none" w:sz="0" w:space="0" w:color="auto"/>
          </w:divBdr>
          <w:divsChild>
            <w:div w:id="1079054976">
              <w:marLeft w:val="0"/>
              <w:marRight w:val="0"/>
              <w:marTop w:val="0"/>
              <w:marBottom w:val="0"/>
              <w:divBdr>
                <w:top w:val="none" w:sz="0" w:space="0" w:color="auto"/>
                <w:left w:val="none" w:sz="0" w:space="0" w:color="auto"/>
                <w:bottom w:val="none" w:sz="0" w:space="0" w:color="auto"/>
                <w:right w:val="none" w:sz="0" w:space="0" w:color="auto"/>
              </w:divBdr>
              <w:divsChild>
                <w:div w:id="1108622882">
                  <w:marLeft w:val="0"/>
                  <w:marRight w:val="0"/>
                  <w:marTop w:val="0"/>
                  <w:marBottom w:val="0"/>
                  <w:divBdr>
                    <w:top w:val="none" w:sz="0" w:space="0" w:color="auto"/>
                    <w:left w:val="none" w:sz="0" w:space="0" w:color="auto"/>
                    <w:bottom w:val="none" w:sz="0" w:space="0" w:color="auto"/>
                    <w:right w:val="none" w:sz="0" w:space="0" w:color="auto"/>
                  </w:divBdr>
                  <w:divsChild>
                    <w:div w:id="251937882">
                      <w:marLeft w:val="0"/>
                      <w:marRight w:val="0"/>
                      <w:marTop w:val="0"/>
                      <w:marBottom w:val="0"/>
                      <w:divBdr>
                        <w:top w:val="none" w:sz="0" w:space="0" w:color="auto"/>
                        <w:left w:val="none" w:sz="0" w:space="0" w:color="auto"/>
                        <w:bottom w:val="none" w:sz="0" w:space="0" w:color="auto"/>
                        <w:right w:val="none" w:sz="0" w:space="0" w:color="auto"/>
                      </w:divBdr>
                      <w:divsChild>
                        <w:div w:id="1304581600">
                          <w:marLeft w:val="-5925"/>
                          <w:marRight w:val="0"/>
                          <w:marTop w:val="0"/>
                          <w:marBottom w:val="0"/>
                          <w:divBdr>
                            <w:top w:val="none" w:sz="0" w:space="0" w:color="auto"/>
                            <w:left w:val="none" w:sz="0" w:space="0" w:color="auto"/>
                            <w:bottom w:val="none" w:sz="0" w:space="0" w:color="auto"/>
                            <w:right w:val="none" w:sz="0" w:space="0" w:color="auto"/>
                          </w:divBdr>
                        </w:div>
                      </w:divsChild>
                    </w:div>
                    <w:div w:id="1408456054">
                      <w:marLeft w:val="0"/>
                      <w:marRight w:val="0"/>
                      <w:marTop w:val="0"/>
                      <w:marBottom w:val="0"/>
                      <w:divBdr>
                        <w:top w:val="none" w:sz="0" w:space="0" w:color="auto"/>
                        <w:left w:val="none" w:sz="0" w:space="0" w:color="auto"/>
                        <w:bottom w:val="none" w:sz="0" w:space="0" w:color="auto"/>
                        <w:right w:val="none" w:sz="0" w:space="0" w:color="auto"/>
                      </w:divBdr>
                      <w:divsChild>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9156">
              <w:marLeft w:val="0"/>
              <w:marRight w:val="0"/>
              <w:marTop w:val="0"/>
              <w:marBottom w:val="0"/>
              <w:divBdr>
                <w:top w:val="none" w:sz="0" w:space="0" w:color="auto"/>
                <w:left w:val="none" w:sz="0" w:space="0" w:color="auto"/>
                <w:bottom w:val="none" w:sz="0" w:space="0" w:color="auto"/>
                <w:right w:val="none" w:sz="0" w:space="0" w:color="auto"/>
              </w:divBdr>
              <w:divsChild>
                <w:div w:id="354969385">
                  <w:marLeft w:val="0"/>
                  <w:marRight w:val="0"/>
                  <w:marTop w:val="0"/>
                  <w:marBottom w:val="0"/>
                  <w:divBdr>
                    <w:top w:val="none" w:sz="0" w:space="0" w:color="auto"/>
                    <w:left w:val="none" w:sz="0" w:space="0" w:color="auto"/>
                    <w:bottom w:val="none" w:sz="0" w:space="0" w:color="auto"/>
                    <w:right w:val="none" w:sz="0" w:space="0" w:color="auto"/>
                  </w:divBdr>
                  <w:divsChild>
                    <w:div w:id="255133089">
                      <w:marLeft w:val="0"/>
                      <w:marRight w:val="0"/>
                      <w:marTop w:val="0"/>
                      <w:marBottom w:val="0"/>
                      <w:divBdr>
                        <w:top w:val="none" w:sz="0" w:space="0" w:color="auto"/>
                        <w:left w:val="none" w:sz="0" w:space="0" w:color="auto"/>
                        <w:bottom w:val="none" w:sz="0" w:space="0" w:color="auto"/>
                        <w:right w:val="none" w:sz="0" w:space="0" w:color="auto"/>
                      </w:divBdr>
                      <w:divsChild>
                        <w:div w:id="1968388847">
                          <w:marLeft w:val="0"/>
                          <w:marRight w:val="0"/>
                          <w:marTop w:val="0"/>
                          <w:marBottom w:val="0"/>
                          <w:divBdr>
                            <w:top w:val="none" w:sz="0" w:space="0" w:color="auto"/>
                            <w:left w:val="none" w:sz="0" w:space="0" w:color="auto"/>
                            <w:bottom w:val="none" w:sz="0" w:space="0" w:color="auto"/>
                            <w:right w:val="none" w:sz="0" w:space="0" w:color="auto"/>
                          </w:divBdr>
                          <w:divsChild>
                            <w:div w:id="576087014">
                              <w:marLeft w:val="0"/>
                              <w:marRight w:val="0"/>
                              <w:marTop w:val="0"/>
                              <w:marBottom w:val="180"/>
                              <w:divBdr>
                                <w:top w:val="none" w:sz="0" w:space="0" w:color="auto"/>
                                <w:left w:val="none" w:sz="0" w:space="0" w:color="auto"/>
                                <w:bottom w:val="none" w:sz="0" w:space="0" w:color="auto"/>
                                <w:right w:val="none" w:sz="0" w:space="0" w:color="auto"/>
                              </w:divBdr>
                              <w:divsChild>
                                <w:div w:id="967514476">
                                  <w:marLeft w:val="0"/>
                                  <w:marRight w:val="0"/>
                                  <w:marTop w:val="0"/>
                                  <w:marBottom w:val="0"/>
                                  <w:divBdr>
                                    <w:top w:val="none" w:sz="0" w:space="0" w:color="auto"/>
                                    <w:left w:val="none" w:sz="0" w:space="0" w:color="auto"/>
                                    <w:bottom w:val="none" w:sz="0" w:space="0" w:color="auto"/>
                                    <w:right w:val="none" w:sz="0" w:space="0" w:color="auto"/>
                                  </w:divBdr>
                                </w:div>
                                <w:div w:id="1326324288">
                                  <w:marLeft w:val="0"/>
                                  <w:marRight w:val="0"/>
                                  <w:marTop w:val="0"/>
                                  <w:marBottom w:val="0"/>
                                  <w:divBdr>
                                    <w:top w:val="none" w:sz="0" w:space="0" w:color="auto"/>
                                    <w:left w:val="none" w:sz="0" w:space="0" w:color="auto"/>
                                    <w:bottom w:val="none" w:sz="0" w:space="0" w:color="auto"/>
                                    <w:right w:val="none" w:sz="0" w:space="0" w:color="auto"/>
                                  </w:divBdr>
                                </w:div>
                              </w:divsChild>
                            </w:div>
                            <w:div w:id="2058316129">
                              <w:marLeft w:val="0"/>
                              <w:marRight w:val="0"/>
                              <w:marTop w:val="0"/>
                              <w:marBottom w:val="0"/>
                              <w:divBdr>
                                <w:top w:val="none" w:sz="0" w:space="0" w:color="auto"/>
                                <w:left w:val="none" w:sz="0" w:space="0" w:color="auto"/>
                                <w:bottom w:val="none" w:sz="0" w:space="0" w:color="auto"/>
                                <w:right w:val="none" w:sz="0" w:space="0" w:color="auto"/>
                              </w:divBdr>
                              <w:divsChild>
                                <w:div w:id="791291578">
                                  <w:marLeft w:val="0"/>
                                  <w:marRight w:val="0"/>
                                  <w:marTop w:val="0"/>
                                  <w:marBottom w:val="0"/>
                                  <w:divBdr>
                                    <w:top w:val="none" w:sz="0" w:space="0" w:color="auto"/>
                                    <w:left w:val="none" w:sz="0" w:space="0" w:color="auto"/>
                                    <w:bottom w:val="none" w:sz="0" w:space="0" w:color="auto"/>
                                    <w:right w:val="none" w:sz="0" w:space="0" w:color="auto"/>
                                  </w:divBdr>
                                </w:div>
                                <w:div w:id="1274553196">
                                  <w:marLeft w:val="0"/>
                                  <w:marRight w:val="0"/>
                                  <w:marTop w:val="0"/>
                                  <w:marBottom w:val="0"/>
                                  <w:divBdr>
                                    <w:top w:val="none" w:sz="0" w:space="0" w:color="auto"/>
                                    <w:left w:val="none" w:sz="0" w:space="0" w:color="auto"/>
                                    <w:bottom w:val="none" w:sz="0" w:space="0" w:color="auto"/>
                                    <w:right w:val="none" w:sz="0" w:space="0" w:color="auto"/>
                                  </w:divBdr>
                                  <w:divsChild>
                                    <w:div w:id="1869756684">
                                      <w:marLeft w:val="0"/>
                                      <w:marRight w:val="0"/>
                                      <w:marTop w:val="0"/>
                                      <w:marBottom w:val="0"/>
                                      <w:divBdr>
                                        <w:top w:val="none" w:sz="0" w:space="0" w:color="auto"/>
                                        <w:left w:val="none" w:sz="0" w:space="0" w:color="auto"/>
                                        <w:bottom w:val="none" w:sz="0" w:space="0" w:color="auto"/>
                                        <w:right w:val="none" w:sz="0" w:space="0" w:color="auto"/>
                                      </w:divBdr>
                                      <w:divsChild>
                                        <w:div w:id="2105420465">
                                          <w:marLeft w:val="0"/>
                                          <w:marRight w:val="0"/>
                                          <w:marTop w:val="0"/>
                                          <w:marBottom w:val="0"/>
                                          <w:divBdr>
                                            <w:top w:val="none" w:sz="0" w:space="0" w:color="auto"/>
                                            <w:left w:val="none" w:sz="0" w:space="0" w:color="auto"/>
                                            <w:bottom w:val="none" w:sz="0" w:space="0" w:color="auto"/>
                                            <w:right w:val="none" w:sz="0" w:space="0" w:color="auto"/>
                                          </w:divBdr>
                                        </w:div>
                                      </w:divsChild>
                                    </w:div>
                                    <w:div w:id="20060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293">
                              <w:marLeft w:val="0"/>
                              <w:marRight w:val="0"/>
                              <w:marTop w:val="0"/>
                              <w:marBottom w:val="0"/>
                              <w:divBdr>
                                <w:top w:val="none" w:sz="0" w:space="0" w:color="auto"/>
                                <w:left w:val="none" w:sz="0" w:space="0" w:color="auto"/>
                                <w:bottom w:val="none" w:sz="0" w:space="0" w:color="auto"/>
                                <w:right w:val="none" w:sz="0" w:space="0" w:color="auto"/>
                              </w:divBdr>
                              <w:divsChild>
                                <w:div w:id="1870335789">
                                  <w:marLeft w:val="0"/>
                                  <w:marRight w:val="0"/>
                                  <w:marTop w:val="0"/>
                                  <w:marBottom w:val="0"/>
                                  <w:divBdr>
                                    <w:top w:val="none" w:sz="0" w:space="0" w:color="auto"/>
                                    <w:left w:val="none" w:sz="0" w:space="0" w:color="auto"/>
                                    <w:bottom w:val="none" w:sz="0" w:space="0" w:color="auto"/>
                                    <w:right w:val="none" w:sz="0" w:space="0" w:color="auto"/>
                                  </w:divBdr>
                                </w:div>
                                <w:div w:id="1288007099">
                                  <w:marLeft w:val="0"/>
                                  <w:marRight w:val="0"/>
                                  <w:marTop w:val="0"/>
                                  <w:marBottom w:val="0"/>
                                  <w:divBdr>
                                    <w:top w:val="none" w:sz="0" w:space="0" w:color="auto"/>
                                    <w:left w:val="none" w:sz="0" w:space="0" w:color="auto"/>
                                    <w:bottom w:val="none" w:sz="0" w:space="0" w:color="auto"/>
                                    <w:right w:val="none" w:sz="0" w:space="0" w:color="auto"/>
                                  </w:divBdr>
                                  <w:divsChild>
                                    <w:div w:id="1223979448">
                                      <w:marLeft w:val="0"/>
                                      <w:marRight w:val="0"/>
                                      <w:marTop w:val="0"/>
                                      <w:marBottom w:val="0"/>
                                      <w:divBdr>
                                        <w:top w:val="none" w:sz="0" w:space="0" w:color="auto"/>
                                        <w:left w:val="none" w:sz="0" w:space="0" w:color="auto"/>
                                        <w:bottom w:val="none" w:sz="0" w:space="0" w:color="auto"/>
                                        <w:right w:val="none" w:sz="0" w:space="0" w:color="auto"/>
                                      </w:divBdr>
                                      <w:divsChild>
                                        <w:div w:id="1977877629">
                                          <w:marLeft w:val="0"/>
                                          <w:marRight w:val="0"/>
                                          <w:marTop w:val="0"/>
                                          <w:marBottom w:val="0"/>
                                          <w:divBdr>
                                            <w:top w:val="none" w:sz="0" w:space="0" w:color="auto"/>
                                            <w:left w:val="none" w:sz="0" w:space="0" w:color="auto"/>
                                            <w:bottom w:val="none" w:sz="0" w:space="0" w:color="auto"/>
                                            <w:right w:val="none" w:sz="0" w:space="0" w:color="auto"/>
                                          </w:divBdr>
                                        </w:div>
                                      </w:divsChild>
                                    </w:div>
                                    <w:div w:id="183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1073">
                              <w:marLeft w:val="0"/>
                              <w:marRight w:val="0"/>
                              <w:marTop w:val="0"/>
                              <w:marBottom w:val="0"/>
                              <w:divBdr>
                                <w:top w:val="none" w:sz="0" w:space="0" w:color="auto"/>
                                <w:left w:val="none" w:sz="0" w:space="0" w:color="auto"/>
                                <w:bottom w:val="none" w:sz="0" w:space="0" w:color="auto"/>
                                <w:right w:val="none" w:sz="0" w:space="0" w:color="auto"/>
                              </w:divBdr>
                              <w:divsChild>
                                <w:div w:id="309795976">
                                  <w:marLeft w:val="0"/>
                                  <w:marRight w:val="0"/>
                                  <w:marTop w:val="0"/>
                                  <w:marBottom w:val="0"/>
                                  <w:divBdr>
                                    <w:top w:val="none" w:sz="0" w:space="0" w:color="auto"/>
                                    <w:left w:val="none" w:sz="0" w:space="0" w:color="auto"/>
                                    <w:bottom w:val="none" w:sz="0" w:space="0" w:color="auto"/>
                                    <w:right w:val="none" w:sz="0" w:space="0" w:color="auto"/>
                                  </w:divBdr>
                                </w:div>
                                <w:div w:id="2077707297">
                                  <w:marLeft w:val="0"/>
                                  <w:marRight w:val="0"/>
                                  <w:marTop w:val="0"/>
                                  <w:marBottom w:val="0"/>
                                  <w:divBdr>
                                    <w:top w:val="none" w:sz="0" w:space="0" w:color="auto"/>
                                    <w:left w:val="none" w:sz="0" w:space="0" w:color="auto"/>
                                    <w:bottom w:val="none" w:sz="0" w:space="0" w:color="auto"/>
                                    <w:right w:val="none" w:sz="0" w:space="0" w:color="auto"/>
                                  </w:divBdr>
                                  <w:divsChild>
                                    <w:div w:id="528225090">
                                      <w:marLeft w:val="0"/>
                                      <w:marRight w:val="0"/>
                                      <w:marTop w:val="0"/>
                                      <w:marBottom w:val="0"/>
                                      <w:divBdr>
                                        <w:top w:val="none" w:sz="0" w:space="0" w:color="auto"/>
                                        <w:left w:val="none" w:sz="0" w:space="0" w:color="auto"/>
                                        <w:bottom w:val="none" w:sz="0" w:space="0" w:color="auto"/>
                                        <w:right w:val="none" w:sz="0" w:space="0" w:color="auto"/>
                                      </w:divBdr>
                                      <w:divsChild>
                                        <w:div w:id="548959414">
                                          <w:marLeft w:val="0"/>
                                          <w:marRight w:val="0"/>
                                          <w:marTop w:val="0"/>
                                          <w:marBottom w:val="0"/>
                                          <w:divBdr>
                                            <w:top w:val="none" w:sz="0" w:space="0" w:color="auto"/>
                                            <w:left w:val="none" w:sz="0" w:space="0" w:color="auto"/>
                                            <w:bottom w:val="none" w:sz="0" w:space="0" w:color="auto"/>
                                            <w:right w:val="none" w:sz="0" w:space="0" w:color="auto"/>
                                          </w:divBdr>
                                        </w:div>
                                      </w:divsChild>
                                    </w:div>
                                    <w:div w:id="9071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435">
                              <w:marLeft w:val="0"/>
                              <w:marRight w:val="0"/>
                              <w:marTop w:val="0"/>
                              <w:marBottom w:val="0"/>
                              <w:divBdr>
                                <w:top w:val="none" w:sz="0" w:space="0" w:color="auto"/>
                                <w:left w:val="none" w:sz="0" w:space="0" w:color="auto"/>
                                <w:bottom w:val="none" w:sz="0" w:space="0" w:color="auto"/>
                                <w:right w:val="none" w:sz="0" w:space="0" w:color="auto"/>
                              </w:divBdr>
                              <w:divsChild>
                                <w:div w:id="2067532231">
                                  <w:marLeft w:val="0"/>
                                  <w:marRight w:val="0"/>
                                  <w:marTop w:val="0"/>
                                  <w:marBottom w:val="0"/>
                                  <w:divBdr>
                                    <w:top w:val="none" w:sz="0" w:space="0" w:color="auto"/>
                                    <w:left w:val="none" w:sz="0" w:space="0" w:color="auto"/>
                                    <w:bottom w:val="none" w:sz="0" w:space="0" w:color="auto"/>
                                    <w:right w:val="none" w:sz="0" w:space="0" w:color="auto"/>
                                  </w:divBdr>
                                </w:div>
                                <w:div w:id="1404335757">
                                  <w:marLeft w:val="0"/>
                                  <w:marRight w:val="0"/>
                                  <w:marTop w:val="0"/>
                                  <w:marBottom w:val="0"/>
                                  <w:divBdr>
                                    <w:top w:val="none" w:sz="0" w:space="0" w:color="auto"/>
                                    <w:left w:val="none" w:sz="0" w:space="0" w:color="auto"/>
                                    <w:bottom w:val="none" w:sz="0" w:space="0" w:color="auto"/>
                                    <w:right w:val="none" w:sz="0" w:space="0" w:color="auto"/>
                                  </w:divBdr>
                                  <w:divsChild>
                                    <w:div w:id="1410495386">
                                      <w:marLeft w:val="0"/>
                                      <w:marRight w:val="0"/>
                                      <w:marTop w:val="0"/>
                                      <w:marBottom w:val="0"/>
                                      <w:divBdr>
                                        <w:top w:val="none" w:sz="0" w:space="0" w:color="auto"/>
                                        <w:left w:val="none" w:sz="0" w:space="0" w:color="auto"/>
                                        <w:bottom w:val="none" w:sz="0" w:space="0" w:color="auto"/>
                                        <w:right w:val="none" w:sz="0" w:space="0" w:color="auto"/>
                                      </w:divBdr>
                                      <w:divsChild>
                                        <w:div w:id="2086565211">
                                          <w:marLeft w:val="0"/>
                                          <w:marRight w:val="0"/>
                                          <w:marTop w:val="0"/>
                                          <w:marBottom w:val="0"/>
                                          <w:divBdr>
                                            <w:top w:val="none" w:sz="0" w:space="0" w:color="auto"/>
                                            <w:left w:val="none" w:sz="0" w:space="0" w:color="auto"/>
                                            <w:bottom w:val="none" w:sz="0" w:space="0" w:color="auto"/>
                                            <w:right w:val="none" w:sz="0" w:space="0" w:color="auto"/>
                                          </w:divBdr>
                                        </w:div>
                                      </w:divsChild>
                                    </w:div>
                                    <w:div w:id="1288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4986">
                              <w:marLeft w:val="0"/>
                              <w:marRight w:val="0"/>
                              <w:marTop w:val="0"/>
                              <w:marBottom w:val="0"/>
                              <w:divBdr>
                                <w:top w:val="none" w:sz="0" w:space="0" w:color="auto"/>
                                <w:left w:val="none" w:sz="0" w:space="0" w:color="auto"/>
                                <w:bottom w:val="none" w:sz="0" w:space="0" w:color="auto"/>
                                <w:right w:val="none" w:sz="0" w:space="0" w:color="auto"/>
                              </w:divBdr>
                            </w:div>
                            <w:div w:id="960114772">
                              <w:marLeft w:val="0"/>
                              <w:marRight w:val="0"/>
                              <w:marTop w:val="0"/>
                              <w:marBottom w:val="0"/>
                              <w:divBdr>
                                <w:top w:val="none" w:sz="0" w:space="0" w:color="auto"/>
                                <w:left w:val="none" w:sz="0" w:space="0" w:color="auto"/>
                                <w:bottom w:val="none" w:sz="0" w:space="0" w:color="auto"/>
                                <w:right w:val="none" w:sz="0" w:space="0" w:color="auto"/>
                              </w:divBdr>
                            </w:div>
                            <w:div w:id="1074859212">
                              <w:marLeft w:val="0"/>
                              <w:marRight w:val="0"/>
                              <w:marTop w:val="0"/>
                              <w:marBottom w:val="0"/>
                              <w:divBdr>
                                <w:top w:val="none" w:sz="0" w:space="0" w:color="auto"/>
                                <w:left w:val="none" w:sz="0" w:space="0" w:color="auto"/>
                                <w:bottom w:val="none" w:sz="0" w:space="0" w:color="auto"/>
                                <w:right w:val="none" w:sz="0" w:space="0" w:color="auto"/>
                              </w:divBdr>
                              <w:divsChild>
                                <w:div w:id="362024425">
                                  <w:marLeft w:val="0"/>
                                  <w:marRight w:val="0"/>
                                  <w:marTop w:val="0"/>
                                  <w:marBottom w:val="0"/>
                                  <w:divBdr>
                                    <w:top w:val="none" w:sz="0" w:space="0" w:color="auto"/>
                                    <w:left w:val="none" w:sz="0" w:space="0" w:color="auto"/>
                                    <w:bottom w:val="none" w:sz="0" w:space="0" w:color="auto"/>
                                    <w:right w:val="none" w:sz="0" w:space="0" w:color="auto"/>
                                  </w:divBdr>
                                  <w:divsChild>
                                    <w:div w:id="1982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13">
                              <w:marLeft w:val="0"/>
                              <w:marRight w:val="0"/>
                              <w:marTop w:val="0"/>
                              <w:marBottom w:val="0"/>
                              <w:divBdr>
                                <w:top w:val="none" w:sz="0" w:space="0" w:color="auto"/>
                                <w:left w:val="none" w:sz="0" w:space="0" w:color="auto"/>
                                <w:bottom w:val="none" w:sz="0" w:space="0" w:color="auto"/>
                                <w:right w:val="none" w:sz="0" w:space="0" w:color="auto"/>
                              </w:divBdr>
                              <w:divsChild>
                                <w:div w:id="275988568">
                                  <w:marLeft w:val="0"/>
                                  <w:marRight w:val="0"/>
                                  <w:marTop w:val="0"/>
                                  <w:marBottom w:val="0"/>
                                  <w:divBdr>
                                    <w:top w:val="none" w:sz="0" w:space="0" w:color="auto"/>
                                    <w:left w:val="none" w:sz="0" w:space="0" w:color="auto"/>
                                    <w:bottom w:val="none" w:sz="0" w:space="0" w:color="auto"/>
                                    <w:right w:val="none" w:sz="0" w:space="0" w:color="auto"/>
                                  </w:divBdr>
                                </w:div>
                                <w:div w:id="2102601213">
                                  <w:marLeft w:val="0"/>
                                  <w:marRight w:val="0"/>
                                  <w:marTop w:val="0"/>
                                  <w:marBottom w:val="0"/>
                                  <w:divBdr>
                                    <w:top w:val="none" w:sz="0" w:space="0" w:color="auto"/>
                                    <w:left w:val="none" w:sz="0" w:space="0" w:color="auto"/>
                                    <w:bottom w:val="none" w:sz="0" w:space="0" w:color="auto"/>
                                    <w:right w:val="none" w:sz="0" w:space="0" w:color="auto"/>
                                  </w:divBdr>
                                  <w:divsChild>
                                    <w:div w:id="1045301678">
                                      <w:marLeft w:val="0"/>
                                      <w:marRight w:val="0"/>
                                      <w:marTop w:val="0"/>
                                      <w:marBottom w:val="0"/>
                                      <w:divBdr>
                                        <w:top w:val="none" w:sz="0" w:space="0" w:color="auto"/>
                                        <w:left w:val="none" w:sz="0" w:space="0" w:color="auto"/>
                                        <w:bottom w:val="none" w:sz="0" w:space="0" w:color="auto"/>
                                        <w:right w:val="none" w:sz="0" w:space="0" w:color="auto"/>
                                      </w:divBdr>
                                      <w:divsChild>
                                        <w:div w:id="1468207734">
                                          <w:marLeft w:val="0"/>
                                          <w:marRight w:val="0"/>
                                          <w:marTop w:val="0"/>
                                          <w:marBottom w:val="0"/>
                                          <w:divBdr>
                                            <w:top w:val="none" w:sz="0" w:space="0" w:color="auto"/>
                                            <w:left w:val="none" w:sz="0" w:space="0" w:color="auto"/>
                                            <w:bottom w:val="none" w:sz="0" w:space="0" w:color="auto"/>
                                            <w:right w:val="none" w:sz="0" w:space="0" w:color="auto"/>
                                          </w:divBdr>
                                        </w:div>
                                      </w:divsChild>
                                    </w:div>
                                    <w:div w:id="452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198">
                              <w:marLeft w:val="0"/>
                              <w:marRight w:val="0"/>
                              <w:marTop w:val="0"/>
                              <w:marBottom w:val="0"/>
                              <w:divBdr>
                                <w:top w:val="none" w:sz="0" w:space="0" w:color="auto"/>
                                <w:left w:val="none" w:sz="0" w:space="0" w:color="auto"/>
                                <w:bottom w:val="none" w:sz="0" w:space="0" w:color="auto"/>
                                <w:right w:val="none" w:sz="0" w:space="0" w:color="auto"/>
                              </w:divBdr>
                              <w:divsChild>
                                <w:div w:id="1673684770">
                                  <w:marLeft w:val="0"/>
                                  <w:marRight w:val="0"/>
                                  <w:marTop w:val="0"/>
                                  <w:marBottom w:val="0"/>
                                  <w:divBdr>
                                    <w:top w:val="none" w:sz="0" w:space="0" w:color="auto"/>
                                    <w:left w:val="none" w:sz="0" w:space="0" w:color="auto"/>
                                    <w:bottom w:val="none" w:sz="0" w:space="0" w:color="auto"/>
                                    <w:right w:val="none" w:sz="0" w:space="0" w:color="auto"/>
                                  </w:divBdr>
                                </w:div>
                                <w:div w:id="473529224">
                                  <w:marLeft w:val="0"/>
                                  <w:marRight w:val="0"/>
                                  <w:marTop w:val="0"/>
                                  <w:marBottom w:val="0"/>
                                  <w:divBdr>
                                    <w:top w:val="none" w:sz="0" w:space="0" w:color="auto"/>
                                    <w:left w:val="none" w:sz="0" w:space="0" w:color="auto"/>
                                    <w:bottom w:val="none" w:sz="0" w:space="0" w:color="auto"/>
                                    <w:right w:val="none" w:sz="0" w:space="0" w:color="auto"/>
                                  </w:divBdr>
                                  <w:divsChild>
                                    <w:div w:id="1729375785">
                                      <w:marLeft w:val="0"/>
                                      <w:marRight w:val="0"/>
                                      <w:marTop w:val="0"/>
                                      <w:marBottom w:val="0"/>
                                      <w:divBdr>
                                        <w:top w:val="none" w:sz="0" w:space="0" w:color="auto"/>
                                        <w:left w:val="none" w:sz="0" w:space="0" w:color="auto"/>
                                        <w:bottom w:val="none" w:sz="0" w:space="0" w:color="auto"/>
                                        <w:right w:val="none" w:sz="0" w:space="0" w:color="auto"/>
                                      </w:divBdr>
                                      <w:divsChild>
                                        <w:div w:id="883297277">
                                          <w:marLeft w:val="0"/>
                                          <w:marRight w:val="0"/>
                                          <w:marTop w:val="0"/>
                                          <w:marBottom w:val="0"/>
                                          <w:divBdr>
                                            <w:top w:val="none" w:sz="0" w:space="0" w:color="auto"/>
                                            <w:left w:val="none" w:sz="0" w:space="0" w:color="auto"/>
                                            <w:bottom w:val="none" w:sz="0" w:space="0" w:color="auto"/>
                                            <w:right w:val="none" w:sz="0" w:space="0" w:color="auto"/>
                                          </w:divBdr>
                                        </w:div>
                                      </w:divsChild>
                                    </w:div>
                                    <w:div w:id="11161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7169">
                              <w:marLeft w:val="0"/>
                              <w:marRight w:val="0"/>
                              <w:marTop w:val="0"/>
                              <w:marBottom w:val="0"/>
                              <w:divBdr>
                                <w:top w:val="none" w:sz="0" w:space="0" w:color="auto"/>
                                <w:left w:val="none" w:sz="0" w:space="0" w:color="auto"/>
                                <w:bottom w:val="none" w:sz="0" w:space="0" w:color="auto"/>
                                <w:right w:val="none" w:sz="0" w:space="0" w:color="auto"/>
                              </w:divBdr>
                              <w:divsChild>
                                <w:div w:id="840313613">
                                  <w:marLeft w:val="0"/>
                                  <w:marRight w:val="0"/>
                                  <w:marTop w:val="0"/>
                                  <w:marBottom w:val="0"/>
                                  <w:divBdr>
                                    <w:top w:val="none" w:sz="0" w:space="0" w:color="auto"/>
                                    <w:left w:val="none" w:sz="0" w:space="0" w:color="auto"/>
                                    <w:bottom w:val="none" w:sz="0" w:space="0" w:color="auto"/>
                                    <w:right w:val="none" w:sz="0" w:space="0" w:color="auto"/>
                                  </w:divBdr>
                                </w:div>
                                <w:div w:id="1187020766">
                                  <w:marLeft w:val="0"/>
                                  <w:marRight w:val="0"/>
                                  <w:marTop w:val="0"/>
                                  <w:marBottom w:val="0"/>
                                  <w:divBdr>
                                    <w:top w:val="none" w:sz="0" w:space="0" w:color="auto"/>
                                    <w:left w:val="none" w:sz="0" w:space="0" w:color="auto"/>
                                    <w:bottom w:val="none" w:sz="0" w:space="0" w:color="auto"/>
                                    <w:right w:val="none" w:sz="0" w:space="0" w:color="auto"/>
                                  </w:divBdr>
                                  <w:divsChild>
                                    <w:div w:id="1399547378">
                                      <w:marLeft w:val="0"/>
                                      <w:marRight w:val="0"/>
                                      <w:marTop w:val="0"/>
                                      <w:marBottom w:val="0"/>
                                      <w:divBdr>
                                        <w:top w:val="none" w:sz="0" w:space="0" w:color="auto"/>
                                        <w:left w:val="none" w:sz="0" w:space="0" w:color="auto"/>
                                        <w:bottom w:val="none" w:sz="0" w:space="0" w:color="auto"/>
                                        <w:right w:val="none" w:sz="0" w:space="0" w:color="auto"/>
                                      </w:divBdr>
                                      <w:divsChild>
                                        <w:div w:id="1352758889">
                                          <w:marLeft w:val="0"/>
                                          <w:marRight w:val="0"/>
                                          <w:marTop w:val="0"/>
                                          <w:marBottom w:val="0"/>
                                          <w:divBdr>
                                            <w:top w:val="none" w:sz="0" w:space="0" w:color="auto"/>
                                            <w:left w:val="none" w:sz="0" w:space="0" w:color="auto"/>
                                            <w:bottom w:val="none" w:sz="0" w:space="0" w:color="auto"/>
                                            <w:right w:val="none" w:sz="0" w:space="0" w:color="auto"/>
                                          </w:divBdr>
                                        </w:div>
                                      </w:divsChild>
                                    </w:div>
                                    <w:div w:id="1518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229">
                              <w:marLeft w:val="0"/>
                              <w:marRight w:val="0"/>
                              <w:marTop w:val="0"/>
                              <w:marBottom w:val="0"/>
                              <w:divBdr>
                                <w:top w:val="none" w:sz="0" w:space="0" w:color="auto"/>
                                <w:left w:val="none" w:sz="0" w:space="0" w:color="auto"/>
                                <w:bottom w:val="none" w:sz="0" w:space="0" w:color="auto"/>
                                <w:right w:val="none" w:sz="0" w:space="0" w:color="auto"/>
                              </w:divBdr>
                              <w:divsChild>
                                <w:div w:id="1834488142">
                                  <w:marLeft w:val="0"/>
                                  <w:marRight w:val="0"/>
                                  <w:marTop w:val="0"/>
                                  <w:marBottom w:val="0"/>
                                  <w:divBdr>
                                    <w:top w:val="none" w:sz="0" w:space="0" w:color="auto"/>
                                    <w:left w:val="none" w:sz="0" w:space="0" w:color="auto"/>
                                    <w:bottom w:val="none" w:sz="0" w:space="0" w:color="auto"/>
                                    <w:right w:val="none" w:sz="0" w:space="0" w:color="auto"/>
                                  </w:divBdr>
                                </w:div>
                                <w:div w:id="1641155433">
                                  <w:marLeft w:val="0"/>
                                  <w:marRight w:val="0"/>
                                  <w:marTop w:val="0"/>
                                  <w:marBottom w:val="0"/>
                                  <w:divBdr>
                                    <w:top w:val="none" w:sz="0" w:space="0" w:color="auto"/>
                                    <w:left w:val="none" w:sz="0" w:space="0" w:color="auto"/>
                                    <w:bottom w:val="none" w:sz="0" w:space="0" w:color="auto"/>
                                    <w:right w:val="none" w:sz="0" w:space="0" w:color="auto"/>
                                  </w:divBdr>
                                  <w:divsChild>
                                    <w:div w:id="2109151966">
                                      <w:marLeft w:val="0"/>
                                      <w:marRight w:val="0"/>
                                      <w:marTop w:val="0"/>
                                      <w:marBottom w:val="0"/>
                                      <w:divBdr>
                                        <w:top w:val="none" w:sz="0" w:space="0" w:color="auto"/>
                                        <w:left w:val="none" w:sz="0" w:space="0" w:color="auto"/>
                                        <w:bottom w:val="none" w:sz="0" w:space="0" w:color="auto"/>
                                        <w:right w:val="none" w:sz="0" w:space="0" w:color="auto"/>
                                      </w:divBdr>
                                      <w:divsChild>
                                        <w:div w:id="872110139">
                                          <w:marLeft w:val="0"/>
                                          <w:marRight w:val="0"/>
                                          <w:marTop w:val="0"/>
                                          <w:marBottom w:val="0"/>
                                          <w:divBdr>
                                            <w:top w:val="none" w:sz="0" w:space="0" w:color="auto"/>
                                            <w:left w:val="none" w:sz="0" w:space="0" w:color="auto"/>
                                            <w:bottom w:val="none" w:sz="0" w:space="0" w:color="auto"/>
                                            <w:right w:val="none" w:sz="0" w:space="0" w:color="auto"/>
                                          </w:divBdr>
                                        </w:div>
                                      </w:divsChild>
                                    </w:div>
                                    <w:div w:id="148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0483">
                              <w:marLeft w:val="0"/>
                              <w:marRight w:val="0"/>
                              <w:marTop w:val="0"/>
                              <w:marBottom w:val="0"/>
                              <w:divBdr>
                                <w:top w:val="none" w:sz="0" w:space="0" w:color="auto"/>
                                <w:left w:val="none" w:sz="0" w:space="0" w:color="auto"/>
                                <w:bottom w:val="none" w:sz="0" w:space="0" w:color="auto"/>
                                <w:right w:val="none" w:sz="0" w:space="0" w:color="auto"/>
                              </w:divBdr>
                              <w:divsChild>
                                <w:div w:id="1018120830">
                                  <w:marLeft w:val="0"/>
                                  <w:marRight w:val="0"/>
                                  <w:marTop w:val="0"/>
                                  <w:marBottom w:val="0"/>
                                  <w:divBdr>
                                    <w:top w:val="none" w:sz="0" w:space="0" w:color="auto"/>
                                    <w:left w:val="none" w:sz="0" w:space="0" w:color="auto"/>
                                    <w:bottom w:val="none" w:sz="0" w:space="0" w:color="auto"/>
                                    <w:right w:val="none" w:sz="0" w:space="0" w:color="auto"/>
                                  </w:divBdr>
                                </w:div>
                                <w:div w:id="1219051222">
                                  <w:marLeft w:val="0"/>
                                  <w:marRight w:val="0"/>
                                  <w:marTop w:val="0"/>
                                  <w:marBottom w:val="0"/>
                                  <w:divBdr>
                                    <w:top w:val="none" w:sz="0" w:space="0" w:color="auto"/>
                                    <w:left w:val="none" w:sz="0" w:space="0" w:color="auto"/>
                                    <w:bottom w:val="none" w:sz="0" w:space="0" w:color="auto"/>
                                    <w:right w:val="none" w:sz="0" w:space="0" w:color="auto"/>
                                  </w:divBdr>
                                  <w:divsChild>
                                    <w:div w:id="724256053">
                                      <w:marLeft w:val="0"/>
                                      <w:marRight w:val="0"/>
                                      <w:marTop w:val="0"/>
                                      <w:marBottom w:val="0"/>
                                      <w:divBdr>
                                        <w:top w:val="none" w:sz="0" w:space="0" w:color="auto"/>
                                        <w:left w:val="none" w:sz="0" w:space="0" w:color="auto"/>
                                        <w:bottom w:val="none" w:sz="0" w:space="0" w:color="auto"/>
                                        <w:right w:val="none" w:sz="0" w:space="0" w:color="auto"/>
                                      </w:divBdr>
                                      <w:divsChild>
                                        <w:div w:id="1802309687">
                                          <w:marLeft w:val="0"/>
                                          <w:marRight w:val="0"/>
                                          <w:marTop w:val="0"/>
                                          <w:marBottom w:val="0"/>
                                          <w:divBdr>
                                            <w:top w:val="none" w:sz="0" w:space="0" w:color="auto"/>
                                            <w:left w:val="none" w:sz="0" w:space="0" w:color="auto"/>
                                            <w:bottom w:val="none" w:sz="0" w:space="0" w:color="auto"/>
                                            <w:right w:val="none" w:sz="0" w:space="0" w:color="auto"/>
                                          </w:divBdr>
                                        </w:div>
                                      </w:divsChild>
                                    </w:div>
                                    <w:div w:id="1786919822">
                                      <w:marLeft w:val="0"/>
                                      <w:marRight w:val="0"/>
                                      <w:marTop w:val="0"/>
                                      <w:marBottom w:val="0"/>
                                      <w:divBdr>
                                        <w:top w:val="none" w:sz="0" w:space="0" w:color="auto"/>
                                        <w:left w:val="none" w:sz="0" w:space="0" w:color="auto"/>
                                        <w:bottom w:val="none" w:sz="0" w:space="0" w:color="auto"/>
                                        <w:right w:val="none" w:sz="0" w:space="0" w:color="auto"/>
                                      </w:divBdr>
                                    </w:div>
                                  </w:divsChild>
                                </w:div>
                                <w:div w:id="950360710">
                                  <w:marLeft w:val="0"/>
                                  <w:marRight w:val="0"/>
                                  <w:marTop w:val="0"/>
                                  <w:marBottom w:val="0"/>
                                  <w:divBdr>
                                    <w:top w:val="none" w:sz="0" w:space="0" w:color="auto"/>
                                    <w:left w:val="none" w:sz="0" w:space="0" w:color="auto"/>
                                    <w:bottom w:val="none" w:sz="0" w:space="0" w:color="auto"/>
                                    <w:right w:val="none" w:sz="0" w:space="0" w:color="auto"/>
                                  </w:divBdr>
                                </w:div>
                              </w:divsChild>
                            </w:div>
                            <w:div w:id="1963263911">
                              <w:marLeft w:val="0"/>
                              <w:marRight w:val="0"/>
                              <w:marTop w:val="0"/>
                              <w:marBottom w:val="0"/>
                              <w:divBdr>
                                <w:top w:val="none" w:sz="0" w:space="0" w:color="auto"/>
                                <w:left w:val="none" w:sz="0" w:space="0" w:color="auto"/>
                                <w:bottom w:val="none" w:sz="0" w:space="0" w:color="auto"/>
                                <w:right w:val="none" w:sz="0" w:space="0" w:color="auto"/>
                              </w:divBdr>
                              <w:divsChild>
                                <w:div w:id="1279295432">
                                  <w:marLeft w:val="0"/>
                                  <w:marRight w:val="0"/>
                                  <w:marTop w:val="0"/>
                                  <w:marBottom w:val="0"/>
                                  <w:divBdr>
                                    <w:top w:val="none" w:sz="0" w:space="0" w:color="auto"/>
                                    <w:left w:val="none" w:sz="0" w:space="0" w:color="auto"/>
                                    <w:bottom w:val="none" w:sz="0" w:space="0" w:color="auto"/>
                                    <w:right w:val="none" w:sz="0" w:space="0" w:color="auto"/>
                                  </w:divBdr>
                                </w:div>
                                <w:div w:id="209804574">
                                  <w:marLeft w:val="0"/>
                                  <w:marRight w:val="0"/>
                                  <w:marTop w:val="0"/>
                                  <w:marBottom w:val="0"/>
                                  <w:divBdr>
                                    <w:top w:val="none" w:sz="0" w:space="0" w:color="auto"/>
                                    <w:left w:val="none" w:sz="0" w:space="0" w:color="auto"/>
                                    <w:bottom w:val="none" w:sz="0" w:space="0" w:color="auto"/>
                                    <w:right w:val="none" w:sz="0" w:space="0" w:color="auto"/>
                                  </w:divBdr>
                                  <w:divsChild>
                                    <w:div w:id="1300721114">
                                      <w:marLeft w:val="0"/>
                                      <w:marRight w:val="0"/>
                                      <w:marTop w:val="0"/>
                                      <w:marBottom w:val="0"/>
                                      <w:divBdr>
                                        <w:top w:val="none" w:sz="0" w:space="0" w:color="auto"/>
                                        <w:left w:val="none" w:sz="0" w:space="0" w:color="auto"/>
                                        <w:bottom w:val="none" w:sz="0" w:space="0" w:color="auto"/>
                                        <w:right w:val="none" w:sz="0" w:space="0" w:color="auto"/>
                                      </w:divBdr>
                                      <w:divsChild>
                                        <w:div w:id="2013751185">
                                          <w:marLeft w:val="0"/>
                                          <w:marRight w:val="0"/>
                                          <w:marTop w:val="0"/>
                                          <w:marBottom w:val="0"/>
                                          <w:divBdr>
                                            <w:top w:val="none" w:sz="0" w:space="0" w:color="auto"/>
                                            <w:left w:val="none" w:sz="0" w:space="0" w:color="auto"/>
                                            <w:bottom w:val="none" w:sz="0" w:space="0" w:color="auto"/>
                                            <w:right w:val="none" w:sz="0" w:space="0" w:color="auto"/>
                                          </w:divBdr>
                                        </w:div>
                                      </w:divsChild>
                                    </w:div>
                                    <w:div w:id="573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3516">
                              <w:marLeft w:val="0"/>
                              <w:marRight w:val="0"/>
                              <w:marTop w:val="0"/>
                              <w:marBottom w:val="0"/>
                              <w:divBdr>
                                <w:top w:val="none" w:sz="0" w:space="0" w:color="auto"/>
                                <w:left w:val="none" w:sz="0" w:space="0" w:color="auto"/>
                                <w:bottom w:val="none" w:sz="0" w:space="0" w:color="auto"/>
                                <w:right w:val="none" w:sz="0" w:space="0" w:color="auto"/>
                              </w:divBdr>
                              <w:divsChild>
                                <w:div w:id="343676363">
                                  <w:marLeft w:val="0"/>
                                  <w:marRight w:val="0"/>
                                  <w:marTop w:val="0"/>
                                  <w:marBottom w:val="0"/>
                                  <w:divBdr>
                                    <w:top w:val="none" w:sz="0" w:space="0" w:color="auto"/>
                                    <w:left w:val="none" w:sz="0" w:space="0" w:color="auto"/>
                                    <w:bottom w:val="none" w:sz="0" w:space="0" w:color="auto"/>
                                    <w:right w:val="none" w:sz="0" w:space="0" w:color="auto"/>
                                  </w:divBdr>
                                </w:div>
                                <w:div w:id="490759466">
                                  <w:marLeft w:val="0"/>
                                  <w:marRight w:val="0"/>
                                  <w:marTop w:val="0"/>
                                  <w:marBottom w:val="0"/>
                                  <w:divBdr>
                                    <w:top w:val="none" w:sz="0" w:space="0" w:color="auto"/>
                                    <w:left w:val="none" w:sz="0" w:space="0" w:color="auto"/>
                                    <w:bottom w:val="none" w:sz="0" w:space="0" w:color="auto"/>
                                    <w:right w:val="none" w:sz="0" w:space="0" w:color="auto"/>
                                  </w:divBdr>
                                  <w:divsChild>
                                    <w:div w:id="1933780659">
                                      <w:marLeft w:val="0"/>
                                      <w:marRight w:val="0"/>
                                      <w:marTop w:val="0"/>
                                      <w:marBottom w:val="0"/>
                                      <w:divBdr>
                                        <w:top w:val="none" w:sz="0" w:space="0" w:color="auto"/>
                                        <w:left w:val="none" w:sz="0" w:space="0" w:color="auto"/>
                                        <w:bottom w:val="none" w:sz="0" w:space="0" w:color="auto"/>
                                        <w:right w:val="none" w:sz="0" w:space="0" w:color="auto"/>
                                      </w:divBdr>
                                      <w:divsChild>
                                        <w:div w:id="229731906">
                                          <w:marLeft w:val="0"/>
                                          <w:marRight w:val="0"/>
                                          <w:marTop w:val="0"/>
                                          <w:marBottom w:val="0"/>
                                          <w:divBdr>
                                            <w:top w:val="none" w:sz="0" w:space="0" w:color="auto"/>
                                            <w:left w:val="none" w:sz="0" w:space="0" w:color="auto"/>
                                            <w:bottom w:val="none" w:sz="0" w:space="0" w:color="auto"/>
                                            <w:right w:val="none" w:sz="0" w:space="0" w:color="auto"/>
                                          </w:divBdr>
                                        </w:div>
                                      </w:divsChild>
                                    </w:div>
                                    <w:div w:id="15460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608">
                              <w:marLeft w:val="0"/>
                              <w:marRight w:val="0"/>
                              <w:marTop w:val="0"/>
                              <w:marBottom w:val="0"/>
                              <w:divBdr>
                                <w:top w:val="none" w:sz="0" w:space="0" w:color="auto"/>
                                <w:left w:val="none" w:sz="0" w:space="0" w:color="auto"/>
                                <w:bottom w:val="none" w:sz="0" w:space="0" w:color="auto"/>
                                <w:right w:val="none" w:sz="0" w:space="0" w:color="auto"/>
                              </w:divBdr>
                              <w:divsChild>
                                <w:div w:id="213734393">
                                  <w:marLeft w:val="0"/>
                                  <w:marRight w:val="0"/>
                                  <w:marTop w:val="0"/>
                                  <w:marBottom w:val="0"/>
                                  <w:divBdr>
                                    <w:top w:val="none" w:sz="0" w:space="0" w:color="auto"/>
                                    <w:left w:val="none" w:sz="0" w:space="0" w:color="auto"/>
                                    <w:bottom w:val="none" w:sz="0" w:space="0" w:color="auto"/>
                                    <w:right w:val="none" w:sz="0" w:space="0" w:color="auto"/>
                                  </w:divBdr>
                                </w:div>
                                <w:div w:id="2022387059">
                                  <w:marLeft w:val="0"/>
                                  <w:marRight w:val="0"/>
                                  <w:marTop w:val="0"/>
                                  <w:marBottom w:val="0"/>
                                  <w:divBdr>
                                    <w:top w:val="none" w:sz="0" w:space="0" w:color="auto"/>
                                    <w:left w:val="none" w:sz="0" w:space="0" w:color="auto"/>
                                    <w:bottom w:val="none" w:sz="0" w:space="0" w:color="auto"/>
                                    <w:right w:val="none" w:sz="0" w:space="0" w:color="auto"/>
                                  </w:divBdr>
                                  <w:divsChild>
                                    <w:div w:id="1447190769">
                                      <w:marLeft w:val="0"/>
                                      <w:marRight w:val="0"/>
                                      <w:marTop w:val="0"/>
                                      <w:marBottom w:val="0"/>
                                      <w:divBdr>
                                        <w:top w:val="none" w:sz="0" w:space="0" w:color="auto"/>
                                        <w:left w:val="none" w:sz="0" w:space="0" w:color="auto"/>
                                        <w:bottom w:val="none" w:sz="0" w:space="0" w:color="auto"/>
                                        <w:right w:val="none" w:sz="0" w:space="0" w:color="auto"/>
                                      </w:divBdr>
                                      <w:divsChild>
                                        <w:div w:id="452752975">
                                          <w:marLeft w:val="0"/>
                                          <w:marRight w:val="0"/>
                                          <w:marTop w:val="0"/>
                                          <w:marBottom w:val="0"/>
                                          <w:divBdr>
                                            <w:top w:val="none" w:sz="0" w:space="0" w:color="auto"/>
                                            <w:left w:val="none" w:sz="0" w:space="0" w:color="auto"/>
                                            <w:bottom w:val="none" w:sz="0" w:space="0" w:color="auto"/>
                                            <w:right w:val="none" w:sz="0" w:space="0" w:color="auto"/>
                                          </w:divBdr>
                                        </w:div>
                                      </w:divsChild>
                                    </w:div>
                                    <w:div w:id="2113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787">
                              <w:marLeft w:val="0"/>
                              <w:marRight w:val="0"/>
                              <w:marTop w:val="0"/>
                              <w:marBottom w:val="0"/>
                              <w:divBdr>
                                <w:top w:val="none" w:sz="0" w:space="0" w:color="auto"/>
                                <w:left w:val="none" w:sz="0" w:space="0" w:color="auto"/>
                                <w:bottom w:val="none" w:sz="0" w:space="0" w:color="auto"/>
                                <w:right w:val="none" w:sz="0" w:space="0" w:color="auto"/>
                              </w:divBdr>
                              <w:divsChild>
                                <w:div w:id="1192260078">
                                  <w:marLeft w:val="0"/>
                                  <w:marRight w:val="0"/>
                                  <w:marTop w:val="0"/>
                                  <w:marBottom w:val="0"/>
                                  <w:divBdr>
                                    <w:top w:val="none" w:sz="0" w:space="0" w:color="auto"/>
                                    <w:left w:val="none" w:sz="0" w:space="0" w:color="auto"/>
                                    <w:bottom w:val="none" w:sz="0" w:space="0" w:color="auto"/>
                                    <w:right w:val="none" w:sz="0" w:space="0" w:color="auto"/>
                                  </w:divBdr>
                                </w:div>
                                <w:div w:id="1203903502">
                                  <w:marLeft w:val="0"/>
                                  <w:marRight w:val="0"/>
                                  <w:marTop w:val="0"/>
                                  <w:marBottom w:val="0"/>
                                  <w:divBdr>
                                    <w:top w:val="none" w:sz="0" w:space="0" w:color="auto"/>
                                    <w:left w:val="none" w:sz="0" w:space="0" w:color="auto"/>
                                    <w:bottom w:val="none" w:sz="0" w:space="0" w:color="auto"/>
                                    <w:right w:val="none" w:sz="0" w:space="0" w:color="auto"/>
                                  </w:divBdr>
                                  <w:divsChild>
                                    <w:div w:id="2009861198">
                                      <w:marLeft w:val="0"/>
                                      <w:marRight w:val="0"/>
                                      <w:marTop w:val="0"/>
                                      <w:marBottom w:val="0"/>
                                      <w:divBdr>
                                        <w:top w:val="none" w:sz="0" w:space="0" w:color="auto"/>
                                        <w:left w:val="none" w:sz="0" w:space="0" w:color="auto"/>
                                        <w:bottom w:val="none" w:sz="0" w:space="0" w:color="auto"/>
                                        <w:right w:val="none" w:sz="0" w:space="0" w:color="auto"/>
                                      </w:divBdr>
                                      <w:divsChild>
                                        <w:div w:id="1254320712">
                                          <w:marLeft w:val="0"/>
                                          <w:marRight w:val="0"/>
                                          <w:marTop w:val="0"/>
                                          <w:marBottom w:val="0"/>
                                          <w:divBdr>
                                            <w:top w:val="none" w:sz="0" w:space="0" w:color="auto"/>
                                            <w:left w:val="none" w:sz="0" w:space="0" w:color="auto"/>
                                            <w:bottom w:val="none" w:sz="0" w:space="0" w:color="auto"/>
                                            <w:right w:val="none" w:sz="0" w:space="0" w:color="auto"/>
                                          </w:divBdr>
                                        </w:div>
                                      </w:divsChild>
                                    </w:div>
                                    <w:div w:id="1702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268">
                              <w:marLeft w:val="0"/>
                              <w:marRight w:val="0"/>
                              <w:marTop w:val="0"/>
                              <w:marBottom w:val="0"/>
                              <w:divBdr>
                                <w:top w:val="none" w:sz="0" w:space="0" w:color="auto"/>
                                <w:left w:val="none" w:sz="0" w:space="0" w:color="auto"/>
                                <w:bottom w:val="none" w:sz="0" w:space="0" w:color="auto"/>
                                <w:right w:val="none" w:sz="0" w:space="0" w:color="auto"/>
                              </w:divBdr>
                              <w:divsChild>
                                <w:div w:id="50856881">
                                  <w:marLeft w:val="0"/>
                                  <w:marRight w:val="0"/>
                                  <w:marTop w:val="0"/>
                                  <w:marBottom w:val="0"/>
                                  <w:divBdr>
                                    <w:top w:val="none" w:sz="0" w:space="0" w:color="auto"/>
                                    <w:left w:val="none" w:sz="0" w:space="0" w:color="auto"/>
                                    <w:bottom w:val="none" w:sz="0" w:space="0" w:color="auto"/>
                                    <w:right w:val="none" w:sz="0" w:space="0" w:color="auto"/>
                                  </w:divBdr>
                                </w:div>
                                <w:div w:id="502286903">
                                  <w:marLeft w:val="0"/>
                                  <w:marRight w:val="0"/>
                                  <w:marTop w:val="0"/>
                                  <w:marBottom w:val="0"/>
                                  <w:divBdr>
                                    <w:top w:val="none" w:sz="0" w:space="0" w:color="auto"/>
                                    <w:left w:val="none" w:sz="0" w:space="0" w:color="auto"/>
                                    <w:bottom w:val="none" w:sz="0" w:space="0" w:color="auto"/>
                                    <w:right w:val="none" w:sz="0" w:space="0" w:color="auto"/>
                                  </w:divBdr>
                                  <w:divsChild>
                                    <w:div w:id="927540523">
                                      <w:marLeft w:val="0"/>
                                      <w:marRight w:val="0"/>
                                      <w:marTop w:val="0"/>
                                      <w:marBottom w:val="0"/>
                                      <w:divBdr>
                                        <w:top w:val="none" w:sz="0" w:space="0" w:color="auto"/>
                                        <w:left w:val="none" w:sz="0" w:space="0" w:color="auto"/>
                                        <w:bottom w:val="none" w:sz="0" w:space="0" w:color="auto"/>
                                        <w:right w:val="none" w:sz="0" w:space="0" w:color="auto"/>
                                      </w:divBdr>
                                      <w:divsChild>
                                        <w:div w:id="2074347936">
                                          <w:marLeft w:val="0"/>
                                          <w:marRight w:val="0"/>
                                          <w:marTop w:val="0"/>
                                          <w:marBottom w:val="0"/>
                                          <w:divBdr>
                                            <w:top w:val="none" w:sz="0" w:space="0" w:color="auto"/>
                                            <w:left w:val="none" w:sz="0" w:space="0" w:color="auto"/>
                                            <w:bottom w:val="none" w:sz="0" w:space="0" w:color="auto"/>
                                            <w:right w:val="none" w:sz="0" w:space="0" w:color="auto"/>
                                          </w:divBdr>
                                        </w:div>
                                      </w:divsChild>
                                    </w:div>
                                    <w:div w:id="1752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6548">
                              <w:marLeft w:val="0"/>
                              <w:marRight w:val="0"/>
                              <w:marTop w:val="0"/>
                              <w:marBottom w:val="0"/>
                              <w:divBdr>
                                <w:top w:val="none" w:sz="0" w:space="0" w:color="auto"/>
                                <w:left w:val="none" w:sz="0" w:space="0" w:color="auto"/>
                                <w:bottom w:val="none" w:sz="0" w:space="0" w:color="auto"/>
                                <w:right w:val="none" w:sz="0" w:space="0" w:color="auto"/>
                              </w:divBdr>
                              <w:divsChild>
                                <w:div w:id="431703752">
                                  <w:marLeft w:val="0"/>
                                  <w:marRight w:val="0"/>
                                  <w:marTop w:val="0"/>
                                  <w:marBottom w:val="0"/>
                                  <w:divBdr>
                                    <w:top w:val="none" w:sz="0" w:space="0" w:color="auto"/>
                                    <w:left w:val="none" w:sz="0" w:space="0" w:color="auto"/>
                                    <w:bottom w:val="none" w:sz="0" w:space="0" w:color="auto"/>
                                    <w:right w:val="none" w:sz="0" w:space="0" w:color="auto"/>
                                  </w:divBdr>
                                </w:div>
                                <w:div w:id="1077678150">
                                  <w:marLeft w:val="0"/>
                                  <w:marRight w:val="0"/>
                                  <w:marTop w:val="0"/>
                                  <w:marBottom w:val="0"/>
                                  <w:divBdr>
                                    <w:top w:val="none" w:sz="0" w:space="0" w:color="auto"/>
                                    <w:left w:val="none" w:sz="0" w:space="0" w:color="auto"/>
                                    <w:bottom w:val="none" w:sz="0" w:space="0" w:color="auto"/>
                                    <w:right w:val="none" w:sz="0" w:space="0" w:color="auto"/>
                                  </w:divBdr>
                                  <w:divsChild>
                                    <w:div w:id="1951476395">
                                      <w:marLeft w:val="0"/>
                                      <w:marRight w:val="0"/>
                                      <w:marTop w:val="0"/>
                                      <w:marBottom w:val="0"/>
                                      <w:divBdr>
                                        <w:top w:val="none" w:sz="0" w:space="0" w:color="auto"/>
                                        <w:left w:val="none" w:sz="0" w:space="0" w:color="auto"/>
                                        <w:bottom w:val="none" w:sz="0" w:space="0" w:color="auto"/>
                                        <w:right w:val="none" w:sz="0" w:space="0" w:color="auto"/>
                                      </w:divBdr>
                                      <w:divsChild>
                                        <w:div w:id="1141852251">
                                          <w:marLeft w:val="0"/>
                                          <w:marRight w:val="0"/>
                                          <w:marTop w:val="0"/>
                                          <w:marBottom w:val="0"/>
                                          <w:divBdr>
                                            <w:top w:val="none" w:sz="0" w:space="0" w:color="auto"/>
                                            <w:left w:val="none" w:sz="0" w:space="0" w:color="auto"/>
                                            <w:bottom w:val="none" w:sz="0" w:space="0" w:color="auto"/>
                                            <w:right w:val="none" w:sz="0" w:space="0" w:color="auto"/>
                                          </w:divBdr>
                                        </w:div>
                                      </w:divsChild>
                                    </w:div>
                                    <w:div w:id="2104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0155">
                              <w:marLeft w:val="0"/>
                              <w:marRight w:val="0"/>
                              <w:marTop w:val="0"/>
                              <w:marBottom w:val="0"/>
                              <w:divBdr>
                                <w:top w:val="none" w:sz="0" w:space="0" w:color="auto"/>
                                <w:left w:val="none" w:sz="0" w:space="0" w:color="auto"/>
                                <w:bottom w:val="none" w:sz="0" w:space="0" w:color="auto"/>
                                <w:right w:val="none" w:sz="0" w:space="0" w:color="auto"/>
                              </w:divBdr>
                              <w:divsChild>
                                <w:div w:id="1931115780">
                                  <w:marLeft w:val="0"/>
                                  <w:marRight w:val="0"/>
                                  <w:marTop w:val="0"/>
                                  <w:marBottom w:val="0"/>
                                  <w:divBdr>
                                    <w:top w:val="none" w:sz="0" w:space="0" w:color="auto"/>
                                    <w:left w:val="none" w:sz="0" w:space="0" w:color="auto"/>
                                    <w:bottom w:val="none" w:sz="0" w:space="0" w:color="auto"/>
                                    <w:right w:val="none" w:sz="0" w:space="0" w:color="auto"/>
                                  </w:divBdr>
                                </w:div>
                                <w:div w:id="1423794646">
                                  <w:marLeft w:val="0"/>
                                  <w:marRight w:val="0"/>
                                  <w:marTop w:val="0"/>
                                  <w:marBottom w:val="0"/>
                                  <w:divBdr>
                                    <w:top w:val="none" w:sz="0" w:space="0" w:color="auto"/>
                                    <w:left w:val="none" w:sz="0" w:space="0" w:color="auto"/>
                                    <w:bottom w:val="none" w:sz="0" w:space="0" w:color="auto"/>
                                    <w:right w:val="none" w:sz="0" w:space="0" w:color="auto"/>
                                  </w:divBdr>
                                  <w:divsChild>
                                    <w:div w:id="1000619953">
                                      <w:marLeft w:val="0"/>
                                      <w:marRight w:val="0"/>
                                      <w:marTop w:val="0"/>
                                      <w:marBottom w:val="0"/>
                                      <w:divBdr>
                                        <w:top w:val="none" w:sz="0" w:space="0" w:color="auto"/>
                                        <w:left w:val="none" w:sz="0" w:space="0" w:color="auto"/>
                                        <w:bottom w:val="none" w:sz="0" w:space="0" w:color="auto"/>
                                        <w:right w:val="none" w:sz="0" w:space="0" w:color="auto"/>
                                      </w:divBdr>
                                      <w:divsChild>
                                        <w:div w:id="579556750">
                                          <w:marLeft w:val="0"/>
                                          <w:marRight w:val="0"/>
                                          <w:marTop w:val="0"/>
                                          <w:marBottom w:val="0"/>
                                          <w:divBdr>
                                            <w:top w:val="none" w:sz="0" w:space="0" w:color="auto"/>
                                            <w:left w:val="none" w:sz="0" w:space="0" w:color="auto"/>
                                            <w:bottom w:val="none" w:sz="0" w:space="0" w:color="auto"/>
                                            <w:right w:val="none" w:sz="0" w:space="0" w:color="auto"/>
                                          </w:divBdr>
                                        </w:div>
                                      </w:divsChild>
                                    </w:div>
                                    <w:div w:id="16644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8206">
                              <w:marLeft w:val="0"/>
                              <w:marRight w:val="0"/>
                              <w:marTop w:val="0"/>
                              <w:marBottom w:val="0"/>
                              <w:divBdr>
                                <w:top w:val="none" w:sz="0" w:space="0" w:color="auto"/>
                                <w:left w:val="none" w:sz="0" w:space="0" w:color="auto"/>
                                <w:bottom w:val="none" w:sz="0" w:space="0" w:color="auto"/>
                                <w:right w:val="none" w:sz="0" w:space="0" w:color="auto"/>
                              </w:divBdr>
                              <w:divsChild>
                                <w:div w:id="681738123">
                                  <w:marLeft w:val="0"/>
                                  <w:marRight w:val="0"/>
                                  <w:marTop w:val="0"/>
                                  <w:marBottom w:val="0"/>
                                  <w:divBdr>
                                    <w:top w:val="none" w:sz="0" w:space="0" w:color="auto"/>
                                    <w:left w:val="none" w:sz="0" w:space="0" w:color="auto"/>
                                    <w:bottom w:val="none" w:sz="0" w:space="0" w:color="auto"/>
                                    <w:right w:val="none" w:sz="0" w:space="0" w:color="auto"/>
                                  </w:divBdr>
                                </w:div>
                                <w:div w:id="107965930">
                                  <w:marLeft w:val="0"/>
                                  <w:marRight w:val="0"/>
                                  <w:marTop w:val="0"/>
                                  <w:marBottom w:val="0"/>
                                  <w:divBdr>
                                    <w:top w:val="none" w:sz="0" w:space="0" w:color="auto"/>
                                    <w:left w:val="none" w:sz="0" w:space="0" w:color="auto"/>
                                    <w:bottom w:val="none" w:sz="0" w:space="0" w:color="auto"/>
                                    <w:right w:val="none" w:sz="0" w:space="0" w:color="auto"/>
                                  </w:divBdr>
                                  <w:divsChild>
                                    <w:div w:id="449781132">
                                      <w:marLeft w:val="0"/>
                                      <w:marRight w:val="0"/>
                                      <w:marTop w:val="0"/>
                                      <w:marBottom w:val="0"/>
                                      <w:divBdr>
                                        <w:top w:val="none" w:sz="0" w:space="0" w:color="auto"/>
                                        <w:left w:val="none" w:sz="0" w:space="0" w:color="auto"/>
                                        <w:bottom w:val="none" w:sz="0" w:space="0" w:color="auto"/>
                                        <w:right w:val="none" w:sz="0" w:space="0" w:color="auto"/>
                                      </w:divBdr>
                                      <w:divsChild>
                                        <w:div w:id="1034624002">
                                          <w:marLeft w:val="0"/>
                                          <w:marRight w:val="0"/>
                                          <w:marTop w:val="0"/>
                                          <w:marBottom w:val="0"/>
                                          <w:divBdr>
                                            <w:top w:val="none" w:sz="0" w:space="0" w:color="auto"/>
                                            <w:left w:val="none" w:sz="0" w:space="0" w:color="auto"/>
                                            <w:bottom w:val="none" w:sz="0" w:space="0" w:color="auto"/>
                                            <w:right w:val="none" w:sz="0" w:space="0" w:color="auto"/>
                                          </w:divBdr>
                                        </w:div>
                                      </w:divsChild>
                                    </w:div>
                                    <w:div w:id="15300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14">
                              <w:marLeft w:val="0"/>
                              <w:marRight w:val="0"/>
                              <w:marTop w:val="0"/>
                              <w:marBottom w:val="0"/>
                              <w:divBdr>
                                <w:top w:val="none" w:sz="0" w:space="0" w:color="auto"/>
                                <w:left w:val="none" w:sz="0" w:space="0" w:color="auto"/>
                                <w:bottom w:val="none" w:sz="0" w:space="0" w:color="auto"/>
                                <w:right w:val="none" w:sz="0" w:space="0" w:color="auto"/>
                              </w:divBdr>
                              <w:divsChild>
                                <w:div w:id="1365323051">
                                  <w:marLeft w:val="0"/>
                                  <w:marRight w:val="0"/>
                                  <w:marTop w:val="0"/>
                                  <w:marBottom w:val="0"/>
                                  <w:divBdr>
                                    <w:top w:val="none" w:sz="0" w:space="0" w:color="auto"/>
                                    <w:left w:val="none" w:sz="0" w:space="0" w:color="auto"/>
                                    <w:bottom w:val="none" w:sz="0" w:space="0" w:color="auto"/>
                                    <w:right w:val="none" w:sz="0" w:space="0" w:color="auto"/>
                                  </w:divBdr>
                                </w:div>
                                <w:div w:id="776411728">
                                  <w:marLeft w:val="0"/>
                                  <w:marRight w:val="0"/>
                                  <w:marTop w:val="0"/>
                                  <w:marBottom w:val="0"/>
                                  <w:divBdr>
                                    <w:top w:val="none" w:sz="0" w:space="0" w:color="auto"/>
                                    <w:left w:val="none" w:sz="0" w:space="0" w:color="auto"/>
                                    <w:bottom w:val="none" w:sz="0" w:space="0" w:color="auto"/>
                                    <w:right w:val="none" w:sz="0" w:space="0" w:color="auto"/>
                                  </w:divBdr>
                                  <w:divsChild>
                                    <w:div w:id="2030527947">
                                      <w:marLeft w:val="0"/>
                                      <w:marRight w:val="0"/>
                                      <w:marTop w:val="0"/>
                                      <w:marBottom w:val="0"/>
                                      <w:divBdr>
                                        <w:top w:val="none" w:sz="0" w:space="0" w:color="auto"/>
                                        <w:left w:val="none" w:sz="0" w:space="0" w:color="auto"/>
                                        <w:bottom w:val="none" w:sz="0" w:space="0" w:color="auto"/>
                                        <w:right w:val="none" w:sz="0" w:space="0" w:color="auto"/>
                                      </w:divBdr>
                                      <w:divsChild>
                                        <w:div w:id="563105110">
                                          <w:marLeft w:val="0"/>
                                          <w:marRight w:val="0"/>
                                          <w:marTop w:val="0"/>
                                          <w:marBottom w:val="0"/>
                                          <w:divBdr>
                                            <w:top w:val="none" w:sz="0" w:space="0" w:color="auto"/>
                                            <w:left w:val="none" w:sz="0" w:space="0" w:color="auto"/>
                                            <w:bottom w:val="none" w:sz="0" w:space="0" w:color="auto"/>
                                            <w:right w:val="none" w:sz="0" w:space="0" w:color="auto"/>
                                          </w:divBdr>
                                        </w:div>
                                      </w:divsChild>
                                    </w:div>
                                    <w:div w:id="10789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837">
                              <w:marLeft w:val="0"/>
                              <w:marRight w:val="0"/>
                              <w:marTop w:val="0"/>
                              <w:marBottom w:val="0"/>
                              <w:divBdr>
                                <w:top w:val="none" w:sz="0" w:space="0" w:color="auto"/>
                                <w:left w:val="none" w:sz="0" w:space="0" w:color="auto"/>
                                <w:bottom w:val="none" w:sz="0" w:space="0" w:color="auto"/>
                                <w:right w:val="none" w:sz="0" w:space="0" w:color="auto"/>
                              </w:divBdr>
                              <w:divsChild>
                                <w:div w:id="1618949762">
                                  <w:marLeft w:val="0"/>
                                  <w:marRight w:val="0"/>
                                  <w:marTop w:val="0"/>
                                  <w:marBottom w:val="0"/>
                                  <w:divBdr>
                                    <w:top w:val="none" w:sz="0" w:space="0" w:color="auto"/>
                                    <w:left w:val="none" w:sz="0" w:space="0" w:color="auto"/>
                                    <w:bottom w:val="none" w:sz="0" w:space="0" w:color="auto"/>
                                    <w:right w:val="none" w:sz="0" w:space="0" w:color="auto"/>
                                  </w:divBdr>
                                </w:div>
                                <w:div w:id="1556576923">
                                  <w:marLeft w:val="0"/>
                                  <w:marRight w:val="0"/>
                                  <w:marTop w:val="0"/>
                                  <w:marBottom w:val="0"/>
                                  <w:divBdr>
                                    <w:top w:val="none" w:sz="0" w:space="0" w:color="auto"/>
                                    <w:left w:val="none" w:sz="0" w:space="0" w:color="auto"/>
                                    <w:bottom w:val="none" w:sz="0" w:space="0" w:color="auto"/>
                                    <w:right w:val="none" w:sz="0" w:space="0" w:color="auto"/>
                                  </w:divBdr>
                                  <w:divsChild>
                                    <w:div w:id="275649057">
                                      <w:marLeft w:val="0"/>
                                      <w:marRight w:val="0"/>
                                      <w:marTop w:val="0"/>
                                      <w:marBottom w:val="0"/>
                                      <w:divBdr>
                                        <w:top w:val="none" w:sz="0" w:space="0" w:color="auto"/>
                                        <w:left w:val="none" w:sz="0" w:space="0" w:color="auto"/>
                                        <w:bottom w:val="none" w:sz="0" w:space="0" w:color="auto"/>
                                        <w:right w:val="none" w:sz="0" w:space="0" w:color="auto"/>
                                      </w:divBdr>
                                      <w:divsChild>
                                        <w:div w:id="79523908">
                                          <w:marLeft w:val="0"/>
                                          <w:marRight w:val="0"/>
                                          <w:marTop w:val="0"/>
                                          <w:marBottom w:val="0"/>
                                          <w:divBdr>
                                            <w:top w:val="none" w:sz="0" w:space="0" w:color="auto"/>
                                            <w:left w:val="none" w:sz="0" w:space="0" w:color="auto"/>
                                            <w:bottom w:val="none" w:sz="0" w:space="0" w:color="auto"/>
                                            <w:right w:val="none" w:sz="0" w:space="0" w:color="auto"/>
                                          </w:divBdr>
                                        </w:div>
                                      </w:divsChild>
                                    </w:div>
                                    <w:div w:id="195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0026">
                          <w:marLeft w:val="0"/>
                          <w:marRight w:val="0"/>
                          <w:marTop w:val="0"/>
                          <w:marBottom w:val="0"/>
                          <w:divBdr>
                            <w:top w:val="none" w:sz="0" w:space="0" w:color="auto"/>
                            <w:left w:val="none" w:sz="0" w:space="0" w:color="auto"/>
                            <w:bottom w:val="none" w:sz="0" w:space="0" w:color="auto"/>
                            <w:right w:val="none" w:sz="0" w:space="0" w:color="auto"/>
                          </w:divBdr>
                        </w:div>
                      </w:divsChild>
                    </w:div>
                    <w:div w:id="1052195161">
                      <w:marLeft w:val="0"/>
                      <w:marRight w:val="0"/>
                      <w:marTop w:val="0"/>
                      <w:marBottom w:val="0"/>
                      <w:divBdr>
                        <w:top w:val="none" w:sz="0" w:space="0" w:color="auto"/>
                        <w:left w:val="none" w:sz="0" w:space="0" w:color="auto"/>
                        <w:bottom w:val="none" w:sz="0" w:space="0" w:color="auto"/>
                        <w:right w:val="none" w:sz="0" w:space="0" w:color="auto"/>
                      </w:divBdr>
                      <w:divsChild>
                        <w:div w:id="1946112518">
                          <w:marLeft w:val="0"/>
                          <w:marRight w:val="0"/>
                          <w:marTop w:val="0"/>
                          <w:marBottom w:val="0"/>
                          <w:divBdr>
                            <w:top w:val="none" w:sz="0" w:space="0" w:color="auto"/>
                            <w:left w:val="none" w:sz="0" w:space="0" w:color="auto"/>
                            <w:bottom w:val="none" w:sz="0" w:space="0" w:color="auto"/>
                            <w:right w:val="none" w:sz="0" w:space="0" w:color="auto"/>
                          </w:divBdr>
                          <w:divsChild>
                            <w:div w:id="1863132356">
                              <w:marLeft w:val="0"/>
                              <w:marRight w:val="0"/>
                              <w:marTop w:val="0"/>
                              <w:marBottom w:val="0"/>
                              <w:divBdr>
                                <w:top w:val="none" w:sz="0" w:space="0" w:color="auto"/>
                                <w:left w:val="none" w:sz="0" w:space="0" w:color="auto"/>
                                <w:bottom w:val="none" w:sz="0" w:space="0" w:color="auto"/>
                                <w:right w:val="none" w:sz="0" w:space="0" w:color="auto"/>
                              </w:divBdr>
                              <w:divsChild>
                                <w:div w:id="43793618">
                                  <w:marLeft w:val="0"/>
                                  <w:marRight w:val="0"/>
                                  <w:marTop w:val="0"/>
                                  <w:marBottom w:val="0"/>
                                  <w:divBdr>
                                    <w:top w:val="none" w:sz="0" w:space="0" w:color="auto"/>
                                    <w:left w:val="none" w:sz="0" w:space="0" w:color="auto"/>
                                    <w:bottom w:val="none" w:sz="0" w:space="0" w:color="auto"/>
                                    <w:right w:val="none" w:sz="0" w:space="0" w:color="auto"/>
                                  </w:divBdr>
                                  <w:divsChild>
                                    <w:div w:id="63308846">
                                      <w:marLeft w:val="0"/>
                                      <w:marRight w:val="0"/>
                                      <w:marTop w:val="0"/>
                                      <w:marBottom w:val="0"/>
                                      <w:divBdr>
                                        <w:top w:val="none" w:sz="0" w:space="0" w:color="auto"/>
                                        <w:left w:val="none" w:sz="0" w:space="0" w:color="auto"/>
                                        <w:bottom w:val="none" w:sz="0" w:space="0" w:color="auto"/>
                                        <w:right w:val="none" w:sz="0" w:space="0" w:color="auto"/>
                                      </w:divBdr>
                                    </w:div>
                                    <w:div w:id="1672834603">
                                      <w:marLeft w:val="0"/>
                                      <w:marRight w:val="0"/>
                                      <w:marTop w:val="0"/>
                                      <w:marBottom w:val="0"/>
                                      <w:divBdr>
                                        <w:top w:val="none" w:sz="0" w:space="0" w:color="auto"/>
                                        <w:left w:val="none" w:sz="0" w:space="0" w:color="auto"/>
                                        <w:bottom w:val="none" w:sz="0" w:space="0" w:color="auto"/>
                                        <w:right w:val="none" w:sz="0" w:space="0" w:color="auto"/>
                                      </w:divBdr>
                                      <w:divsChild>
                                        <w:div w:id="1105615424">
                                          <w:marLeft w:val="0"/>
                                          <w:marRight w:val="0"/>
                                          <w:marTop w:val="0"/>
                                          <w:marBottom w:val="0"/>
                                          <w:divBdr>
                                            <w:top w:val="none" w:sz="0" w:space="0" w:color="auto"/>
                                            <w:left w:val="none" w:sz="0" w:space="0" w:color="auto"/>
                                            <w:bottom w:val="none" w:sz="0" w:space="0" w:color="auto"/>
                                            <w:right w:val="none" w:sz="0" w:space="0" w:color="auto"/>
                                          </w:divBdr>
                                          <w:divsChild>
                                            <w:div w:id="16382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9389">
                      <w:marLeft w:val="0"/>
                      <w:marRight w:val="0"/>
                      <w:marTop w:val="0"/>
                      <w:marBottom w:val="0"/>
                      <w:divBdr>
                        <w:top w:val="none" w:sz="0" w:space="0" w:color="auto"/>
                        <w:left w:val="none" w:sz="0" w:space="0" w:color="auto"/>
                        <w:bottom w:val="none" w:sz="0" w:space="0" w:color="auto"/>
                        <w:right w:val="none" w:sz="0" w:space="0" w:color="auto"/>
                      </w:divBdr>
                      <w:divsChild>
                        <w:div w:id="27880699">
                          <w:marLeft w:val="0"/>
                          <w:marRight w:val="0"/>
                          <w:marTop w:val="0"/>
                          <w:marBottom w:val="0"/>
                          <w:divBdr>
                            <w:top w:val="none" w:sz="0" w:space="0" w:color="auto"/>
                            <w:left w:val="none" w:sz="0" w:space="0" w:color="auto"/>
                            <w:bottom w:val="none" w:sz="0" w:space="0" w:color="auto"/>
                            <w:right w:val="none" w:sz="0" w:space="0" w:color="auto"/>
                          </w:divBdr>
                          <w:divsChild>
                            <w:div w:id="462583359">
                              <w:marLeft w:val="0"/>
                              <w:marRight w:val="0"/>
                              <w:marTop w:val="0"/>
                              <w:marBottom w:val="0"/>
                              <w:divBdr>
                                <w:top w:val="none" w:sz="0" w:space="0" w:color="auto"/>
                                <w:left w:val="none" w:sz="0" w:space="0" w:color="auto"/>
                                <w:bottom w:val="none" w:sz="0" w:space="0" w:color="auto"/>
                                <w:right w:val="none" w:sz="0" w:space="0" w:color="auto"/>
                              </w:divBdr>
                              <w:divsChild>
                                <w:div w:id="159008317">
                                  <w:marLeft w:val="0"/>
                                  <w:marRight w:val="0"/>
                                  <w:marTop w:val="0"/>
                                  <w:marBottom w:val="180"/>
                                  <w:divBdr>
                                    <w:top w:val="none" w:sz="0" w:space="0" w:color="auto"/>
                                    <w:left w:val="none" w:sz="0" w:space="0" w:color="auto"/>
                                    <w:bottom w:val="none" w:sz="0" w:space="0" w:color="auto"/>
                                    <w:right w:val="none" w:sz="0" w:space="0" w:color="auto"/>
                                  </w:divBdr>
                                  <w:divsChild>
                                    <w:div w:id="1456099793">
                                      <w:marLeft w:val="0"/>
                                      <w:marRight w:val="0"/>
                                      <w:marTop w:val="0"/>
                                      <w:marBottom w:val="0"/>
                                      <w:divBdr>
                                        <w:top w:val="none" w:sz="0" w:space="0" w:color="auto"/>
                                        <w:left w:val="none" w:sz="0" w:space="0" w:color="auto"/>
                                        <w:bottom w:val="none" w:sz="0" w:space="0" w:color="auto"/>
                                        <w:right w:val="none" w:sz="0" w:space="0" w:color="auto"/>
                                      </w:divBdr>
                                      <w:divsChild>
                                        <w:div w:id="470490009">
                                          <w:marLeft w:val="0"/>
                                          <w:marRight w:val="0"/>
                                          <w:marTop w:val="0"/>
                                          <w:marBottom w:val="0"/>
                                          <w:divBdr>
                                            <w:top w:val="none" w:sz="0" w:space="0" w:color="auto"/>
                                            <w:left w:val="none" w:sz="0" w:space="0" w:color="auto"/>
                                            <w:bottom w:val="none" w:sz="0" w:space="0" w:color="auto"/>
                                            <w:right w:val="none" w:sz="0" w:space="0" w:color="auto"/>
                                          </w:divBdr>
                                        </w:div>
                                      </w:divsChild>
                                    </w:div>
                                    <w:div w:id="1905985056">
                                      <w:marLeft w:val="0"/>
                                      <w:marRight w:val="0"/>
                                      <w:marTop w:val="0"/>
                                      <w:marBottom w:val="0"/>
                                      <w:divBdr>
                                        <w:top w:val="none" w:sz="0" w:space="0" w:color="auto"/>
                                        <w:left w:val="none" w:sz="0" w:space="0" w:color="auto"/>
                                        <w:bottom w:val="none" w:sz="0" w:space="0" w:color="auto"/>
                                        <w:right w:val="none" w:sz="0" w:space="0" w:color="auto"/>
                                      </w:divBdr>
                                    </w:div>
                                  </w:divsChild>
                                </w:div>
                                <w:div w:id="5639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805">
                      <w:marLeft w:val="0"/>
                      <w:marRight w:val="0"/>
                      <w:marTop w:val="0"/>
                      <w:marBottom w:val="0"/>
                      <w:divBdr>
                        <w:top w:val="none" w:sz="0" w:space="0" w:color="auto"/>
                        <w:left w:val="none" w:sz="0" w:space="0" w:color="auto"/>
                        <w:bottom w:val="none" w:sz="0" w:space="0" w:color="auto"/>
                        <w:right w:val="none" w:sz="0" w:space="0" w:color="auto"/>
                      </w:divBdr>
                      <w:divsChild>
                        <w:div w:id="2003501777">
                          <w:marLeft w:val="0"/>
                          <w:marRight w:val="0"/>
                          <w:marTop w:val="0"/>
                          <w:marBottom w:val="360"/>
                          <w:divBdr>
                            <w:top w:val="none" w:sz="0" w:space="0" w:color="auto"/>
                            <w:left w:val="none" w:sz="0" w:space="0" w:color="auto"/>
                            <w:bottom w:val="none" w:sz="0" w:space="0" w:color="auto"/>
                            <w:right w:val="none" w:sz="0" w:space="0" w:color="auto"/>
                          </w:divBdr>
                          <w:divsChild>
                            <w:div w:id="1502311709">
                              <w:marLeft w:val="0"/>
                              <w:marRight w:val="0"/>
                              <w:marTop w:val="0"/>
                              <w:marBottom w:val="0"/>
                              <w:divBdr>
                                <w:top w:val="none" w:sz="0" w:space="0" w:color="auto"/>
                                <w:left w:val="none" w:sz="0" w:space="0" w:color="auto"/>
                                <w:bottom w:val="none" w:sz="0" w:space="0" w:color="auto"/>
                                <w:right w:val="none" w:sz="0" w:space="0" w:color="auto"/>
                              </w:divBdr>
                              <w:divsChild>
                                <w:div w:id="282083515">
                                  <w:marLeft w:val="0"/>
                                  <w:marRight w:val="0"/>
                                  <w:marTop w:val="0"/>
                                  <w:marBottom w:val="0"/>
                                  <w:divBdr>
                                    <w:top w:val="none" w:sz="0" w:space="0" w:color="auto"/>
                                    <w:left w:val="none" w:sz="0" w:space="0" w:color="auto"/>
                                    <w:bottom w:val="none" w:sz="0" w:space="0" w:color="auto"/>
                                    <w:right w:val="none" w:sz="0" w:space="0" w:color="auto"/>
                                  </w:divBdr>
                                  <w:divsChild>
                                    <w:div w:id="441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1453">
                          <w:marLeft w:val="0"/>
                          <w:marRight w:val="0"/>
                          <w:marTop w:val="0"/>
                          <w:marBottom w:val="0"/>
                          <w:divBdr>
                            <w:top w:val="none" w:sz="0" w:space="0" w:color="auto"/>
                            <w:left w:val="none" w:sz="0" w:space="0" w:color="auto"/>
                            <w:bottom w:val="none" w:sz="0" w:space="0" w:color="auto"/>
                            <w:right w:val="none" w:sz="0" w:space="0" w:color="auto"/>
                          </w:divBdr>
                          <w:divsChild>
                            <w:div w:id="273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6303">
                      <w:marLeft w:val="0"/>
                      <w:marRight w:val="0"/>
                      <w:marTop w:val="0"/>
                      <w:marBottom w:val="0"/>
                      <w:divBdr>
                        <w:top w:val="none" w:sz="0" w:space="0" w:color="auto"/>
                        <w:left w:val="none" w:sz="0" w:space="0" w:color="auto"/>
                        <w:bottom w:val="none" w:sz="0" w:space="0" w:color="auto"/>
                        <w:right w:val="none" w:sz="0" w:space="0" w:color="auto"/>
                      </w:divBdr>
                      <w:divsChild>
                        <w:div w:id="1667391458">
                          <w:marLeft w:val="0"/>
                          <w:marRight w:val="0"/>
                          <w:marTop w:val="0"/>
                          <w:marBottom w:val="0"/>
                          <w:divBdr>
                            <w:top w:val="none" w:sz="0" w:space="0" w:color="auto"/>
                            <w:left w:val="none" w:sz="0" w:space="0" w:color="auto"/>
                            <w:bottom w:val="none" w:sz="0" w:space="0" w:color="auto"/>
                            <w:right w:val="none" w:sz="0" w:space="0" w:color="auto"/>
                          </w:divBdr>
                          <w:divsChild>
                            <w:div w:id="777913901">
                              <w:marLeft w:val="0"/>
                              <w:marRight w:val="0"/>
                              <w:marTop w:val="0"/>
                              <w:marBottom w:val="0"/>
                              <w:divBdr>
                                <w:top w:val="none" w:sz="0" w:space="0" w:color="auto"/>
                                <w:left w:val="none" w:sz="0" w:space="0" w:color="auto"/>
                                <w:bottom w:val="none" w:sz="0" w:space="0" w:color="auto"/>
                                <w:right w:val="none" w:sz="0" w:space="0" w:color="auto"/>
                              </w:divBdr>
                            </w:div>
                            <w:div w:id="1657106679">
                              <w:marLeft w:val="0"/>
                              <w:marRight w:val="0"/>
                              <w:marTop w:val="0"/>
                              <w:marBottom w:val="0"/>
                              <w:divBdr>
                                <w:top w:val="none" w:sz="0" w:space="0" w:color="auto"/>
                                <w:left w:val="none" w:sz="0" w:space="0" w:color="auto"/>
                                <w:bottom w:val="none" w:sz="0" w:space="0" w:color="auto"/>
                                <w:right w:val="none" w:sz="0" w:space="0" w:color="auto"/>
                              </w:divBdr>
                              <w:divsChild>
                                <w:div w:id="585191304">
                                  <w:marLeft w:val="0"/>
                                  <w:marRight w:val="0"/>
                                  <w:marTop w:val="0"/>
                                  <w:marBottom w:val="30"/>
                                  <w:divBdr>
                                    <w:top w:val="none" w:sz="0" w:space="0" w:color="auto"/>
                                    <w:left w:val="none" w:sz="0" w:space="0" w:color="auto"/>
                                    <w:bottom w:val="none" w:sz="0" w:space="0" w:color="auto"/>
                                    <w:right w:val="none" w:sz="0" w:space="0" w:color="auto"/>
                                  </w:divBdr>
                                  <w:divsChild>
                                    <w:div w:id="1746876504">
                                      <w:marLeft w:val="0"/>
                                      <w:marRight w:val="0"/>
                                      <w:marTop w:val="0"/>
                                      <w:marBottom w:val="0"/>
                                      <w:divBdr>
                                        <w:top w:val="none" w:sz="0" w:space="0" w:color="auto"/>
                                        <w:left w:val="none" w:sz="0" w:space="0" w:color="auto"/>
                                        <w:bottom w:val="none" w:sz="0" w:space="0" w:color="auto"/>
                                        <w:right w:val="none" w:sz="0" w:space="0" w:color="auto"/>
                                      </w:divBdr>
                                    </w:div>
                                  </w:divsChild>
                                </w:div>
                                <w:div w:id="1076511349">
                                  <w:marLeft w:val="0"/>
                                  <w:marRight w:val="0"/>
                                  <w:marTop w:val="0"/>
                                  <w:marBottom w:val="0"/>
                                  <w:divBdr>
                                    <w:top w:val="none" w:sz="0" w:space="0" w:color="auto"/>
                                    <w:left w:val="none" w:sz="0" w:space="0" w:color="auto"/>
                                    <w:bottom w:val="none" w:sz="0" w:space="0" w:color="auto"/>
                                    <w:right w:val="none" w:sz="0" w:space="0" w:color="auto"/>
                                  </w:divBdr>
                                </w:div>
                                <w:div w:id="625233481">
                                  <w:marLeft w:val="0"/>
                                  <w:marRight w:val="0"/>
                                  <w:marTop w:val="0"/>
                                  <w:marBottom w:val="0"/>
                                  <w:divBdr>
                                    <w:top w:val="none" w:sz="0" w:space="0" w:color="auto"/>
                                    <w:left w:val="none" w:sz="0" w:space="0" w:color="auto"/>
                                    <w:bottom w:val="none" w:sz="0" w:space="0" w:color="auto"/>
                                    <w:right w:val="none" w:sz="0" w:space="0" w:color="auto"/>
                                  </w:divBdr>
                                  <w:divsChild>
                                    <w:div w:id="6659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3783">
                          <w:marLeft w:val="0"/>
                          <w:marRight w:val="0"/>
                          <w:marTop w:val="0"/>
                          <w:marBottom w:val="0"/>
                          <w:divBdr>
                            <w:top w:val="none" w:sz="0" w:space="0" w:color="auto"/>
                            <w:left w:val="none" w:sz="0" w:space="0" w:color="auto"/>
                            <w:bottom w:val="none" w:sz="0" w:space="0" w:color="auto"/>
                            <w:right w:val="none" w:sz="0" w:space="0" w:color="auto"/>
                          </w:divBdr>
                          <w:divsChild>
                            <w:div w:id="163060276">
                              <w:marLeft w:val="0"/>
                              <w:marRight w:val="0"/>
                              <w:marTop w:val="0"/>
                              <w:marBottom w:val="0"/>
                              <w:divBdr>
                                <w:top w:val="none" w:sz="0" w:space="0" w:color="auto"/>
                                <w:left w:val="none" w:sz="0" w:space="0" w:color="auto"/>
                                <w:bottom w:val="none" w:sz="0" w:space="0" w:color="auto"/>
                                <w:right w:val="none" w:sz="0" w:space="0" w:color="auto"/>
                              </w:divBdr>
                            </w:div>
                          </w:divsChild>
                        </w:div>
                        <w:div w:id="2005664873">
                          <w:marLeft w:val="0"/>
                          <w:marRight w:val="0"/>
                          <w:marTop w:val="0"/>
                          <w:marBottom w:val="0"/>
                          <w:divBdr>
                            <w:top w:val="none" w:sz="0" w:space="0" w:color="auto"/>
                            <w:left w:val="none" w:sz="0" w:space="0" w:color="auto"/>
                            <w:bottom w:val="none" w:sz="0" w:space="0" w:color="auto"/>
                            <w:right w:val="none" w:sz="0" w:space="0" w:color="auto"/>
                          </w:divBdr>
                          <w:divsChild>
                            <w:div w:id="1577320718">
                              <w:marLeft w:val="0"/>
                              <w:marRight w:val="0"/>
                              <w:marTop w:val="0"/>
                              <w:marBottom w:val="0"/>
                              <w:divBdr>
                                <w:top w:val="none" w:sz="0" w:space="0" w:color="auto"/>
                                <w:left w:val="none" w:sz="0" w:space="0" w:color="auto"/>
                                <w:bottom w:val="none" w:sz="0" w:space="0" w:color="auto"/>
                                <w:right w:val="none" w:sz="0" w:space="0" w:color="auto"/>
                              </w:divBdr>
                            </w:div>
                            <w:div w:id="156195793">
                              <w:marLeft w:val="0"/>
                              <w:marRight w:val="0"/>
                              <w:marTop w:val="0"/>
                              <w:marBottom w:val="0"/>
                              <w:divBdr>
                                <w:top w:val="none" w:sz="0" w:space="0" w:color="auto"/>
                                <w:left w:val="none" w:sz="0" w:space="0" w:color="auto"/>
                                <w:bottom w:val="none" w:sz="0" w:space="0" w:color="auto"/>
                                <w:right w:val="none" w:sz="0" w:space="0" w:color="auto"/>
                              </w:divBdr>
                              <w:divsChild>
                                <w:div w:id="1341469966">
                                  <w:marLeft w:val="0"/>
                                  <w:marRight w:val="0"/>
                                  <w:marTop w:val="0"/>
                                  <w:marBottom w:val="30"/>
                                  <w:divBdr>
                                    <w:top w:val="none" w:sz="0" w:space="0" w:color="auto"/>
                                    <w:left w:val="none" w:sz="0" w:space="0" w:color="auto"/>
                                    <w:bottom w:val="none" w:sz="0" w:space="0" w:color="auto"/>
                                    <w:right w:val="none" w:sz="0" w:space="0" w:color="auto"/>
                                  </w:divBdr>
                                  <w:divsChild>
                                    <w:div w:id="1918005611">
                                      <w:marLeft w:val="0"/>
                                      <w:marRight w:val="0"/>
                                      <w:marTop w:val="0"/>
                                      <w:marBottom w:val="0"/>
                                      <w:divBdr>
                                        <w:top w:val="none" w:sz="0" w:space="0" w:color="auto"/>
                                        <w:left w:val="none" w:sz="0" w:space="0" w:color="auto"/>
                                        <w:bottom w:val="none" w:sz="0" w:space="0" w:color="auto"/>
                                        <w:right w:val="none" w:sz="0" w:space="0" w:color="auto"/>
                                      </w:divBdr>
                                    </w:div>
                                  </w:divsChild>
                                </w:div>
                                <w:div w:id="2075082397">
                                  <w:marLeft w:val="0"/>
                                  <w:marRight w:val="0"/>
                                  <w:marTop w:val="0"/>
                                  <w:marBottom w:val="0"/>
                                  <w:divBdr>
                                    <w:top w:val="none" w:sz="0" w:space="0" w:color="auto"/>
                                    <w:left w:val="none" w:sz="0" w:space="0" w:color="auto"/>
                                    <w:bottom w:val="none" w:sz="0" w:space="0" w:color="auto"/>
                                    <w:right w:val="none" w:sz="0" w:space="0" w:color="auto"/>
                                  </w:divBdr>
                                </w:div>
                                <w:div w:id="428700327">
                                  <w:marLeft w:val="0"/>
                                  <w:marRight w:val="0"/>
                                  <w:marTop w:val="0"/>
                                  <w:marBottom w:val="0"/>
                                  <w:divBdr>
                                    <w:top w:val="none" w:sz="0" w:space="0" w:color="auto"/>
                                    <w:left w:val="none" w:sz="0" w:space="0" w:color="auto"/>
                                    <w:bottom w:val="none" w:sz="0" w:space="0" w:color="auto"/>
                                    <w:right w:val="none" w:sz="0" w:space="0" w:color="auto"/>
                                  </w:divBdr>
                                  <w:divsChild>
                                    <w:div w:id="714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1068187428">
                              <w:marLeft w:val="0"/>
                              <w:marRight w:val="0"/>
                              <w:marTop w:val="0"/>
                              <w:marBottom w:val="0"/>
                              <w:divBdr>
                                <w:top w:val="none" w:sz="0" w:space="0" w:color="auto"/>
                                <w:left w:val="none" w:sz="0" w:space="0" w:color="auto"/>
                                <w:bottom w:val="none" w:sz="0" w:space="0" w:color="auto"/>
                                <w:right w:val="none" w:sz="0" w:space="0" w:color="auto"/>
                              </w:divBdr>
                            </w:div>
                            <w:div w:id="1874077503">
                              <w:marLeft w:val="0"/>
                              <w:marRight w:val="0"/>
                              <w:marTop w:val="0"/>
                              <w:marBottom w:val="0"/>
                              <w:divBdr>
                                <w:top w:val="none" w:sz="0" w:space="0" w:color="auto"/>
                                <w:left w:val="none" w:sz="0" w:space="0" w:color="auto"/>
                                <w:bottom w:val="none" w:sz="0" w:space="0" w:color="auto"/>
                                <w:right w:val="none" w:sz="0" w:space="0" w:color="auto"/>
                              </w:divBdr>
                              <w:divsChild>
                                <w:div w:id="2901884">
                                  <w:marLeft w:val="0"/>
                                  <w:marRight w:val="0"/>
                                  <w:marTop w:val="0"/>
                                  <w:marBottom w:val="30"/>
                                  <w:divBdr>
                                    <w:top w:val="none" w:sz="0" w:space="0" w:color="auto"/>
                                    <w:left w:val="none" w:sz="0" w:space="0" w:color="auto"/>
                                    <w:bottom w:val="none" w:sz="0" w:space="0" w:color="auto"/>
                                    <w:right w:val="none" w:sz="0" w:space="0" w:color="auto"/>
                                  </w:divBdr>
                                  <w:divsChild>
                                    <w:div w:id="1850826255">
                                      <w:marLeft w:val="0"/>
                                      <w:marRight w:val="0"/>
                                      <w:marTop w:val="0"/>
                                      <w:marBottom w:val="0"/>
                                      <w:divBdr>
                                        <w:top w:val="none" w:sz="0" w:space="0" w:color="auto"/>
                                        <w:left w:val="none" w:sz="0" w:space="0" w:color="auto"/>
                                        <w:bottom w:val="none" w:sz="0" w:space="0" w:color="auto"/>
                                        <w:right w:val="none" w:sz="0" w:space="0" w:color="auto"/>
                                      </w:divBdr>
                                    </w:div>
                                  </w:divsChild>
                                </w:div>
                                <w:div w:id="1856993554">
                                  <w:marLeft w:val="0"/>
                                  <w:marRight w:val="0"/>
                                  <w:marTop w:val="0"/>
                                  <w:marBottom w:val="0"/>
                                  <w:divBdr>
                                    <w:top w:val="none" w:sz="0" w:space="0" w:color="auto"/>
                                    <w:left w:val="none" w:sz="0" w:space="0" w:color="auto"/>
                                    <w:bottom w:val="none" w:sz="0" w:space="0" w:color="auto"/>
                                    <w:right w:val="none" w:sz="0" w:space="0" w:color="auto"/>
                                  </w:divBdr>
                                </w:div>
                                <w:div w:id="1228495721">
                                  <w:marLeft w:val="0"/>
                                  <w:marRight w:val="0"/>
                                  <w:marTop w:val="0"/>
                                  <w:marBottom w:val="0"/>
                                  <w:divBdr>
                                    <w:top w:val="none" w:sz="0" w:space="0" w:color="auto"/>
                                    <w:left w:val="none" w:sz="0" w:space="0" w:color="auto"/>
                                    <w:bottom w:val="none" w:sz="0" w:space="0" w:color="auto"/>
                                    <w:right w:val="none" w:sz="0" w:space="0" w:color="auto"/>
                                  </w:divBdr>
                                  <w:divsChild>
                                    <w:div w:id="1466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64115">
                          <w:marLeft w:val="0"/>
                          <w:marRight w:val="0"/>
                          <w:marTop w:val="0"/>
                          <w:marBottom w:val="0"/>
                          <w:divBdr>
                            <w:top w:val="none" w:sz="0" w:space="0" w:color="auto"/>
                            <w:left w:val="none" w:sz="0" w:space="0" w:color="auto"/>
                            <w:bottom w:val="none" w:sz="0" w:space="0" w:color="auto"/>
                            <w:right w:val="none" w:sz="0" w:space="0" w:color="auto"/>
                          </w:divBdr>
                          <w:divsChild>
                            <w:div w:id="175078274">
                              <w:marLeft w:val="0"/>
                              <w:marRight w:val="0"/>
                              <w:marTop w:val="0"/>
                              <w:marBottom w:val="0"/>
                              <w:divBdr>
                                <w:top w:val="none" w:sz="0" w:space="0" w:color="auto"/>
                                <w:left w:val="none" w:sz="0" w:space="0" w:color="auto"/>
                                <w:bottom w:val="none" w:sz="0" w:space="0" w:color="auto"/>
                                <w:right w:val="none" w:sz="0" w:space="0" w:color="auto"/>
                              </w:divBdr>
                            </w:div>
                            <w:div w:id="351803970">
                              <w:marLeft w:val="0"/>
                              <w:marRight w:val="0"/>
                              <w:marTop w:val="0"/>
                              <w:marBottom w:val="0"/>
                              <w:divBdr>
                                <w:top w:val="none" w:sz="0" w:space="0" w:color="auto"/>
                                <w:left w:val="none" w:sz="0" w:space="0" w:color="auto"/>
                                <w:bottom w:val="none" w:sz="0" w:space="0" w:color="auto"/>
                                <w:right w:val="none" w:sz="0" w:space="0" w:color="auto"/>
                              </w:divBdr>
                              <w:divsChild>
                                <w:div w:id="1092582423">
                                  <w:marLeft w:val="0"/>
                                  <w:marRight w:val="0"/>
                                  <w:marTop w:val="0"/>
                                  <w:marBottom w:val="30"/>
                                  <w:divBdr>
                                    <w:top w:val="none" w:sz="0" w:space="0" w:color="auto"/>
                                    <w:left w:val="none" w:sz="0" w:space="0" w:color="auto"/>
                                    <w:bottom w:val="none" w:sz="0" w:space="0" w:color="auto"/>
                                    <w:right w:val="none" w:sz="0" w:space="0" w:color="auto"/>
                                  </w:divBdr>
                                  <w:divsChild>
                                    <w:div w:id="1387686421">
                                      <w:marLeft w:val="0"/>
                                      <w:marRight w:val="0"/>
                                      <w:marTop w:val="0"/>
                                      <w:marBottom w:val="0"/>
                                      <w:divBdr>
                                        <w:top w:val="none" w:sz="0" w:space="0" w:color="auto"/>
                                        <w:left w:val="none" w:sz="0" w:space="0" w:color="auto"/>
                                        <w:bottom w:val="none" w:sz="0" w:space="0" w:color="auto"/>
                                        <w:right w:val="none" w:sz="0" w:space="0" w:color="auto"/>
                                      </w:divBdr>
                                    </w:div>
                                  </w:divsChild>
                                </w:div>
                                <w:div w:id="764233895">
                                  <w:marLeft w:val="0"/>
                                  <w:marRight w:val="0"/>
                                  <w:marTop w:val="0"/>
                                  <w:marBottom w:val="0"/>
                                  <w:divBdr>
                                    <w:top w:val="none" w:sz="0" w:space="0" w:color="auto"/>
                                    <w:left w:val="none" w:sz="0" w:space="0" w:color="auto"/>
                                    <w:bottom w:val="none" w:sz="0" w:space="0" w:color="auto"/>
                                    <w:right w:val="none" w:sz="0" w:space="0" w:color="auto"/>
                                  </w:divBdr>
                                </w:div>
                                <w:div w:id="1310355861">
                                  <w:marLeft w:val="0"/>
                                  <w:marRight w:val="0"/>
                                  <w:marTop w:val="0"/>
                                  <w:marBottom w:val="0"/>
                                  <w:divBdr>
                                    <w:top w:val="none" w:sz="0" w:space="0" w:color="auto"/>
                                    <w:left w:val="none" w:sz="0" w:space="0" w:color="auto"/>
                                    <w:bottom w:val="none" w:sz="0" w:space="0" w:color="auto"/>
                                    <w:right w:val="none" w:sz="0" w:space="0" w:color="auto"/>
                                  </w:divBdr>
                                  <w:divsChild>
                                    <w:div w:id="10556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577">
                          <w:marLeft w:val="0"/>
                          <w:marRight w:val="0"/>
                          <w:marTop w:val="0"/>
                          <w:marBottom w:val="0"/>
                          <w:divBdr>
                            <w:top w:val="none" w:sz="0" w:space="0" w:color="auto"/>
                            <w:left w:val="none" w:sz="0" w:space="0" w:color="auto"/>
                            <w:bottom w:val="none" w:sz="0" w:space="0" w:color="auto"/>
                            <w:right w:val="none" w:sz="0" w:space="0" w:color="auto"/>
                          </w:divBdr>
                          <w:divsChild>
                            <w:div w:id="537007125">
                              <w:marLeft w:val="0"/>
                              <w:marRight w:val="0"/>
                              <w:marTop w:val="0"/>
                              <w:marBottom w:val="0"/>
                              <w:divBdr>
                                <w:top w:val="none" w:sz="0" w:space="0" w:color="auto"/>
                                <w:left w:val="none" w:sz="0" w:space="0" w:color="auto"/>
                                <w:bottom w:val="none" w:sz="0" w:space="0" w:color="auto"/>
                                <w:right w:val="none" w:sz="0" w:space="0" w:color="auto"/>
                              </w:divBdr>
                            </w:div>
                            <w:div w:id="1878350635">
                              <w:marLeft w:val="0"/>
                              <w:marRight w:val="0"/>
                              <w:marTop w:val="0"/>
                              <w:marBottom w:val="0"/>
                              <w:divBdr>
                                <w:top w:val="none" w:sz="0" w:space="0" w:color="auto"/>
                                <w:left w:val="none" w:sz="0" w:space="0" w:color="auto"/>
                                <w:bottom w:val="none" w:sz="0" w:space="0" w:color="auto"/>
                                <w:right w:val="none" w:sz="0" w:space="0" w:color="auto"/>
                              </w:divBdr>
                              <w:divsChild>
                                <w:div w:id="980117963">
                                  <w:marLeft w:val="0"/>
                                  <w:marRight w:val="0"/>
                                  <w:marTop w:val="0"/>
                                  <w:marBottom w:val="30"/>
                                  <w:divBdr>
                                    <w:top w:val="none" w:sz="0" w:space="0" w:color="auto"/>
                                    <w:left w:val="none" w:sz="0" w:space="0" w:color="auto"/>
                                    <w:bottom w:val="none" w:sz="0" w:space="0" w:color="auto"/>
                                    <w:right w:val="none" w:sz="0" w:space="0" w:color="auto"/>
                                  </w:divBdr>
                                  <w:divsChild>
                                    <w:div w:id="114566725">
                                      <w:marLeft w:val="0"/>
                                      <w:marRight w:val="0"/>
                                      <w:marTop w:val="0"/>
                                      <w:marBottom w:val="0"/>
                                      <w:divBdr>
                                        <w:top w:val="none" w:sz="0" w:space="0" w:color="auto"/>
                                        <w:left w:val="none" w:sz="0" w:space="0" w:color="auto"/>
                                        <w:bottom w:val="none" w:sz="0" w:space="0" w:color="auto"/>
                                        <w:right w:val="none" w:sz="0" w:space="0" w:color="auto"/>
                                      </w:divBdr>
                                    </w:div>
                                  </w:divsChild>
                                </w:div>
                                <w:div w:id="658387010">
                                  <w:marLeft w:val="0"/>
                                  <w:marRight w:val="0"/>
                                  <w:marTop w:val="0"/>
                                  <w:marBottom w:val="0"/>
                                  <w:divBdr>
                                    <w:top w:val="none" w:sz="0" w:space="0" w:color="auto"/>
                                    <w:left w:val="none" w:sz="0" w:space="0" w:color="auto"/>
                                    <w:bottom w:val="none" w:sz="0" w:space="0" w:color="auto"/>
                                    <w:right w:val="none" w:sz="0" w:space="0" w:color="auto"/>
                                  </w:divBdr>
                                </w:div>
                                <w:div w:id="275135985">
                                  <w:marLeft w:val="0"/>
                                  <w:marRight w:val="0"/>
                                  <w:marTop w:val="0"/>
                                  <w:marBottom w:val="0"/>
                                  <w:divBdr>
                                    <w:top w:val="none" w:sz="0" w:space="0" w:color="auto"/>
                                    <w:left w:val="none" w:sz="0" w:space="0" w:color="auto"/>
                                    <w:bottom w:val="none" w:sz="0" w:space="0" w:color="auto"/>
                                    <w:right w:val="none" w:sz="0" w:space="0" w:color="auto"/>
                                  </w:divBdr>
                                  <w:divsChild>
                                    <w:div w:id="17487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6160">
                          <w:marLeft w:val="0"/>
                          <w:marRight w:val="0"/>
                          <w:marTop w:val="0"/>
                          <w:marBottom w:val="0"/>
                          <w:divBdr>
                            <w:top w:val="none" w:sz="0" w:space="0" w:color="auto"/>
                            <w:left w:val="none" w:sz="0" w:space="0" w:color="auto"/>
                            <w:bottom w:val="none" w:sz="0" w:space="0" w:color="auto"/>
                            <w:right w:val="none" w:sz="0" w:space="0" w:color="auto"/>
                          </w:divBdr>
                          <w:divsChild>
                            <w:div w:id="1317689887">
                              <w:marLeft w:val="0"/>
                              <w:marRight w:val="0"/>
                              <w:marTop w:val="0"/>
                              <w:marBottom w:val="0"/>
                              <w:divBdr>
                                <w:top w:val="none" w:sz="0" w:space="0" w:color="auto"/>
                                <w:left w:val="none" w:sz="0" w:space="0" w:color="auto"/>
                                <w:bottom w:val="none" w:sz="0" w:space="0" w:color="auto"/>
                                <w:right w:val="none" w:sz="0" w:space="0" w:color="auto"/>
                              </w:divBdr>
                            </w:div>
                            <w:div w:id="1896891309">
                              <w:marLeft w:val="0"/>
                              <w:marRight w:val="0"/>
                              <w:marTop w:val="0"/>
                              <w:marBottom w:val="0"/>
                              <w:divBdr>
                                <w:top w:val="none" w:sz="0" w:space="0" w:color="auto"/>
                                <w:left w:val="none" w:sz="0" w:space="0" w:color="auto"/>
                                <w:bottom w:val="none" w:sz="0" w:space="0" w:color="auto"/>
                                <w:right w:val="none" w:sz="0" w:space="0" w:color="auto"/>
                              </w:divBdr>
                              <w:divsChild>
                                <w:div w:id="1253513636">
                                  <w:marLeft w:val="0"/>
                                  <w:marRight w:val="0"/>
                                  <w:marTop w:val="0"/>
                                  <w:marBottom w:val="30"/>
                                  <w:divBdr>
                                    <w:top w:val="none" w:sz="0" w:space="0" w:color="auto"/>
                                    <w:left w:val="none" w:sz="0" w:space="0" w:color="auto"/>
                                    <w:bottom w:val="none" w:sz="0" w:space="0" w:color="auto"/>
                                    <w:right w:val="none" w:sz="0" w:space="0" w:color="auto"/>
                                  </w:divBdr>
                                  <w:divsChild>
                                    <w:div w:id="1910185397">
                                      <w:marLeft w:val="0"/>
                                      <w:marRight w:val="0"/>
                                      <w:marTop w:val="0"/>
                                      <w:marBottom w:val="0"/>
                                      <w:divBdr>
                                        <w:top w:val="none" w:sz="0" w:space="0" w:color="auto"/>
                                        <w:left w:val="none" w:sz="0" w:space="0" w:color="auto"/>
                                        <w:bottom w:val="none" w:sz="0" w:space="0" w:color="auto"/>
                                        <w:right w:val="none" w:sz="0" w:space="0" w:color="auto"/>
                                      </w:divBdr>
                                    </w:div>
                                  </w:divsChild>
                                </w:div>
                                <w:div w:id="1239317419">
                                  <w:marLeft w:val="0"/>
                                  <w:marRight w:val="0"/>
                                  <w:marTop w:val="0"/>
                                  <w:marBottom w:val="0"/>
                                  <w:divBdr>
                                    <w:top w:val="none" w:sz="0" w:space="0" w:color="auto"/>
                                    <w:left w:val="none" w:sz="0" w:space="0" w:color="auto"/>
                                    <w:bottom w:val="none" w:sz="0" w:space="0" w:color="auto"/>
                                    <w:right w:val="none" w:sz="0" w:space="0" w:color="auto"/>
                                  </w:divBdr>
                                </w:div>
                                <w:div w:id="1799105689">
                                  <w:marLeft w:val="0"/>
                                  <w:marRight w:val="0"/>
                                  <w:marTop w:val="0"/>
                                  <w:marBottom w:val="0"/>
                                  <w:divBdr>
                                    <w:top w:val="none" w:sz="0" w:space="0" w:color="auto"/>
                                    <w:left w:val="none" w:sz="0" w:space="0" w:color="auto"/>
                                    <w:bottom w:val="none" w:sz="0" w:space="0" w:color="auto"/>
                                    <w:right w:val="none" w:sz="0" w:space="0" w:color="auto"/>
                                  </w:divBdr>
                                  <w:divsChild>
                                    <w:div w:id="2225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so.eurostat.ec.europa.eu/nui/show.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eurostat.ec.europa.eu/nui/show.do?dataset=ext_lt_intratrd&am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eurostat.ec.europa.eu/nui/show.do?dataset=ext_lt_intratrd&amp;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sso.eurostat.ec.europa.eu/nui/show.do?dataset=ext_lt_intratrd&amp;lang=en" TargetMode="External"/><Relationship Id="rId4" Type="http://schemas.openxmlformats.org/officeDocument/2006/relationships/settings" Target="settings.xml"/><Relationship Id="rId9" Type="http://schemas.openxmlformats.org/officeDocument/2006/relationships/hyperlink" Target="http://epp.eurostat.ec.europa.eu/tgm/table.do?tabpercentage%20change=table&amp;init=1&amp;plugin=1&amp;language=en&amp;pcode=tec00115" TargetMode="External"/><Relationship Id="rId14" Type="http://schemas.openxmlformats.org/officeDocument/2006/relationships/hyperlink" Target="http://appsso.eurostat.ec.europa.eu/nui/show.d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white_paper_on_the_future_of_europ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4DAB-28D5-4B5F-9E53-3121B8EA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Njegic</dc:creator>
  <cp:lastModifiedBy>Milijana</cp:lastModifiedBy>
  <cp:revision>2</cp:revision>
  <dcterms:created xsi:type="dcterms:W3CDTF">2020-04-07T14:28:00Z</dcterms:created>
  <dcterms:modified xsi:type="dcterms:W3CDTF">2020-04-07T14:28:00Z</dcterms:modified>
</cp:coreProperties>
</file>