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A68" w:rsidRDefault="00B15A68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  <w:r w:rsidRPr="00B15A68">
        <w:t>Poštovane kolege</w:t>
      </w:r>
      <w:r>
        <w:rPr>
          <w:rFonts w:ascii="Arial" w:hAnsi="Arial" w:cs="Arial"/>
          <w:color w:val="636466"/>
          <w:sz w:val="23"/>
          <w:szCs w:val="23"/>
        </w:rPr>
        <w:t>,</w:t>
      </w:r>
    </w:p>
    <w:p w:rsidR="00B15A68" w:rsidRDefault="00B15A68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</w:p>
    <w:p w:rsidR="00721E00" w:rsidRDefault="00B15A68" w:rsidP="00721E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  <w:r w:rsidRPr="00B15A68">
        <w:rPr>
          <w:sz w:val="23"/>
          <w:szCs w:val="23"/>
        </w:rPr>
        <w:t xml:space="preserve">Zbog novonastale  situacije i </w:t>
      </w:r>
      <w:r w:rsidR="00721E00">
        <w:rPr>
          <w:sz w:val="23"/>
          <w:szCs w:val="23"/>
        </w:rPr>
        <w:t>nemogućnosti održavanja</w:t>
      </w:r>
      <w:r w:rsidRPr="00B15A68">
        <w:rPr>
          <w:sz w:val="23"/>
          <w:szCs w:val="23"/>
        </w:rPr>
        <w:t xml:space="preserve"> provere znanja</w:t>
      </w:r>
      <w:r w:rsidR="00721E00">
        <w:rPr>
          <w:sz w:val="23"/>
          <w:szCs w:val="23"/>
        </w:rPr>
        <w:t xml:space="preserve"> na uobičajeni način</w:t>
      </w:r>
      <w:r w:rsidRPr="00B15A68">
        <w:rPr>
          <w:sz w:val="23"/>
          <w:szCs w:val="23"/>
        </w:rPr>
        <w:t xml:space="preserve"> predispitni poeni vezani za redovni kolokvijum (za studente koji predmet slušaju u letnjem semestru - Agoekonomija) održaće se</w:t>
      </w:r>
      <w:r w:rsidRPr="00B15A68">
        <w:rPr>
          <w:rFonts w:ascii="Arial" w:hAnsi="Arial" w:cs="Arial"/>
          <w:sz w:val="23"/>
          <w:szCs w:val="23"/>
        </w:rPr>
        <w:t xml:space="preserve"> </w:t>
      </w:r>
      <w:r w:rsidR="009F749A">
        <w:t xml:space="preserve">online. Termin drugog redovnog kolokvijuma je </w:t>
      </w:r>
      <w:r w:rsidR="009F749A" w:rsidRPr="009F749A">
        <w:rPr>
          <w:b/>
        </w:rPr>
        <w:t>29</w:t>
      </w:r>
      <w:r w:rsidRPr="009F749A">
        <w:rPr>
          <w:b/>
        </w:rPr>
        <w:t>. maj</w:t>
      </w:r>
      <w:r>
        <w:t xml:space="preserve"> u terminu  </w:t>
      </w:r>
      <w:r w:rsidRPr="009F749A">
        <w:rPr>
          <w:b/>
        </w:rPr>
        <w:t>od 12 do 17h</w:t>
      </w:r>
      <w:r>
        <w:t xml:space="preserve">. </w:t>
      </w:r>
      <w:r w:rsidR="00464E20">
        <w:t xml:space="preserve">Potrebno je pripremiti se na osnovu pitanja za </w:t>
      </w:r>
      <w:r w:rsidR="00464E20" w:rsidRPr="009F749A">
        <w:rPr>
          <w:b/>
        </w:rPr>
        <w:t>I</w:t>
      </w:r>
      <w:r w:rsidR="009F749A" w:rsidRPr="009F749A">
        <w:rPr>
          <w:b/>
        </w:rPr>
        <w:t>I</w:t>
      </w:r>
      <w:r w:rsidR="00464E20" w:rsidRPr="009F749A">
        <w:rPr>
          <w:b/>
        </w:rPr>
        <w:t xml:space="preserve"> kolokvijum</w:t>
      </w:r>
      <w:r w:rsidR="00464E20">
        <w:t xml:space="preserve">. Provera će obuhvatiti pet pitanja koja se mogu sastojati iz nekoliko pitanja. U 12h pitanja će biti postavljena na mom linku. Vaš zadatak je da na pitanja odgovorite i pošaljete na mail </w:t>
      </w:r>
      <w:r w:rsidR="00464E20" w:rsidRPr="009F749A">
        <w:rPr>
          <w:b/>
        </w:rPr>
        <w:t>do 17h.</w:t>
      </w:r>
    </w:p>
    <w:p w:rsidR="00721E00" w:rsidRDefault="00721E00" w:rsidP="00721E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B15A68" w:rsidRDefault="00721E00" w:rsidP="00721E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36466"/>
          <w:sz w:val="23"/>
          <w:szCs w:val="23"/>
        </w:rPr>
      </w:pPr>
      <w:r>
        <w:t>E-mail: branka.maksimovic.vps@gmail.com</w:t>
      </w:r>
      <w:r w:rsidR="00464E20">
        <w:t xml:space="preserve"> </w:t>
      </w:r>
      <w:r w:rsidR="00B15A68">
        <w:t xml:space="preserve">  </w:t>
      </w:r>
      <w:r w:rsidR="00B15A68">
        <w:rPr>
          <w:rFonts w:ascii="Arial" w:hAnsi="Arial" w:cs="Arial"/>
          <w:color w:val="636466"/>
          <w:sz w:val="23"/>
          <w:szCs w:val="23"/>
        </w:rPr>
        <w:t xml:space="preserve"> </w:t>
      </w:r>
    </w:p>
    <w:p w:rsidR="00464E20" w:rsidRDefault="00464E20" w:rsidP="00721E0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36466"/>
          <w:sz w:val="23"/>
          <w:szCs w:val="23"/>
        </w:rPr>
      </w:pPr>
      <w:bookmarkStart w:id="0" w:name="_GoBack"/>
      <w:bookmarkEnd w:id="0"/>
    </w:p>
    <w:p w:rsidR="00464E20" w:rsidRDefault="00464E20" w:rsidP="00464E2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</w:p>
    <w:p w:rsidR="00B15A68" w:rsidRPr="00464E20" w:rsidRDefault="00464E20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3"/>
          <w:szCs w:val="23"/>
        </w:rPr>
      </w:pPr>
      <w:r w:rsidRPr="00464E20">
        <w:rPr>
          <w:sz w:val="23"/>
          <w:szCs w:val="23"/>
        </w:rPr>
        <w:t>S poštovanjem,</w:t>
      </w:r>
    </w:p>
    <w:p w:rsidR="00B15A68" w:rsidRDefault="00464E20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  <w:r w:rsidRPr="00464E20">
        <w:rPr>
          <w:sz w:val="23"/>
          <w:szCs w:val="23"/>
        </w:rPr>
        <w:t>dr Branka Maksimović</w:t>
      </w:r>
    </w:p>
    <w:p w:rsidR="00B15A68" w:rsidRDefault="00B15A68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</w:p>
    <w:p w:rsidR="00B15A68" w:rsidRDefault="00B15A68" w:rsidP="00B15A6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36466"/>
          <w:sz w:val="23"/>
          <w:szCs w:val="23"/>
        </w:rPr>
      </w:pPr>
    </w:p>
    <w:p w:rsidR="009F749A" w:rsidRPr="00464E20" w:rsidRDefault="00B15A68" w:rsidP="009F749A">
      <w:pPr>
        <w:rPr>
          <w:rFonts w:ascii="Times New Roman" w:hAnsi="Times New Roman" w:cs="Times New Roman"/>
          <w:lang w:val="sr-Latn-CS"/>
        </w:rPr>
      </w:pPr>
      <w:r w:rsidRPr="00EE5DC8">
        <w:rPr>
          <w:rFonts w:ascii="Algerian" w:hAnsi="Algerian"/>
          <w:color w:val="525252" w:themeColor="accent3" w:themeShade="80"/>
          <w:sz w:val="32"/>
          <w:szCs w:val="32"/>
          <w:u w:val="double"/>
          <w:lang w:val="sr-Latn-CS"/>
        </w:rPr>
        <w:t xml:space="preserve"> </w:t>
      </w:r>
    </w:p>
    <w:p w:rsidR="009F749A" w:rsidRPr="009F749A" w:rsidRDefault="009F749A" w:rsidP="009F749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40"/>
          <w:szCs w:val="40"/>
          <w:lang w:val="pl-PL"/>
        </w:rPr>
      </w:pPr>
      <w:r w:rsidRPr="009F749A">
        <w:rPr>
          <w:rFonts w:ascii="Times New Roman" w:eastAsia="Arial Unicode MS" w:hAnsi="Times New Roman" w:cs="Times New Roman"/>
          <w:b/>
          <w:color w:val="FF0000"/>
          <w:sz w:val="40"/>
          <w:szCs w:val="40"/>
          <w:lang w:val="pl-PL"/>
        </w:rPr>
        <w:t xml:space="preserve">OKVIRNA PITANJA ZA </w:t>
      </w:r>
      <w:r w:rsidRPr="009F749A">
        <w:rPr>
          <w:rFonts w:ascii="Times New Roman" w:eastAsia="Arial Unicode MS" w:hAnsi="Times New Roman" w:cs="Times New Roman"/>
          <w:b/>
          <w:color w:val="FF0000"/>
          <w:sz w:val="40"/>
          <w:szCs w:val="40"/>
          <w:lang w:val="sr-Latn-CS"/>
        </w:rPr>
        <w:t xml:space="preserve">II KOLOKVIJUM </w:t>
      </w:r>
      <w:r w:rsidRPr="009F749A">
        <w:rPr>
          <w:rFonts w:ascii="Times New Roman" w:eastAsia="Arial Unicode MS" w:hAnsi="Times New Roman" w:cs="Times New Roman"/>
          <w:b/>
          <w:color w:val="FF0000"/>
          <w:sz w:val="40"/>
          <w:szCs w:val="40"/>
          <w:lang w:val="pl-PL"/>
        </w:rPr>
        <w:t>IZ PREDMETA AGROEKONOMIJA</w:t>
      </w:r>
    </w:p>
    <w:p w:rsidR="009F749A" w:rsidRPr="009F749A" w:rsidRDefault="009F749A" w:rsidP="009F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pl-PL"/>
        </w:rPr>
      </w:pPr>
    </w:p>
    <w:p w:rsidR="009F749A" w:rsidRPr="009F749A" w:rsidRDefault="009F749A" w:rsidP="009F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pl-PL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Nabrojati prirodne karakteristike zemljišta.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  <w:lang w:val="pl-PL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 xml:space="preserve">Objasnite svaku od prirodnih karakteristika </w:t>
      </w:r>
      <w:r w:rsidRPr="009F749A">
        <w:rPr>
          <w:rFonts w:ascii="Cambria Math" w:eastAsia="Times New Roman" w:hAnsi="Cambria Math" w:cs="Times New Roman"/>
          <w:sz w:val="26"/>
          <w:szCs w:val="26"/>
        </w:rPr>
        <w:t>zemljišta – nepokretnost, neumnoživost, nesitrošivost i različita plodnost.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Navedite društvene  uslove korišćenja zemljišta.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Objasnite društvene uslove korišćenja zemljišta – fenomen vlasništva nad zemljištem i zemljište kao predmet prometa.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Prema klasifikacija zemljišta šta ubrajamo u obradive površine?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Prema klasifikaciji zemljišta šta ubrajamo u poljoprivredne površine?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Prema klasifikaciji zemljišta šta ubrajamo u produktivne površine?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Prema klasifikaciji zemljišta šta ubrajamo u ukupne površine?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Navedite osnovne sisteme korišćenja zemljišta.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Objasniti ekstenzivan način korišćenja zemljišta?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Vrste ekstenzivnog korišćenja zemljišta – navesti i objasniti.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Sistemi intenzivnog korišćenja zemljišta – navesti i objasniti.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Navedite najvažnije ciljeve koji se ostvaruju plodoredom.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Koje kategorije spadaju u dugogodišnje zasade?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Objasnite specifičnosti voćnjaka i vinograda.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Osnovne karakteristike stočnog fonda?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Navedite koristi od držanja stoke na poljoprivrednom gazdinstvu.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Zašto se poljoprivredno gazdinstvo ne specijalizuje samo za ratarsku ili stočarsku proizvodnju, već primenjuje princip kombinovanja proizvodne strukture?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Koji je značaj putne mreže u poljoprivrednom preduzeću?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Objasniti pojam melioracije – tehnički aspekt i ekonomsko – organizacioni aspekt.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pl-PL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lastRenderedPageBreak/>
        <w:t xml:space="preserve"> </w:t>
      </w:r>
      <w:r w:rsidRPr="009F749A">
        <w:rPr>
          <w:rFonts w:ascii="Cambria Math" w:eastAsia="Times New Roman" w:hAnsi="Cambria Math" w:cs="Times New Roman"/>
          <w:sz w:val="26"/>
          <w:szCs w:val="26"/>
          <w:lang w:val="pl-PL"/>
        </w:rPr>
        <w:t>Navedite ciljeve melioracija.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Šta spada u hidrotehničke a šta u agrotehničke melioracije?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Objasniti melioracije sa trajnim dejstvom i meloioracije sa ograničenim dejstvom.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Osnovna namena i koje vrste objekata razlikujemo u poljoprivrednoj proizvodnji?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Objasnite šta se podrazumeva pod ekonomskim dvorištem.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 xml:space="preserve">Zašto je značajno upravljanje  poljoprivrednim mašinama? 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Navedite obrtna sredstva  u poljoprivrednim organizacijama.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Navedite šta se podrazumeva pod zalihama osnovnog i pomoćnog materijala u poljoprivrednim organizacijama.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Objasnite šta se podrazumeva pod zalihama gotovih proizvoda u poljoprivrednim organizacijama.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pl-PL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Specifi</w:t>
      </w: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č</w:t>
      </w: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nosti i vrste ambalaže ambala</w:t>
      </w: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ž</w:t>
      </w: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e.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pl-PL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pl-PL"/>
        </w:rPr>
        <w:t>Definišite pojam prehrambene sigurnosti i prehrambene bezbednosti.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Definisati standarde i standardizaciju.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Navesti ključne ISO standarde.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Objasniti ISO 9001 standard.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v-SE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v-SE"/>
        </w:rPr>
        <w:t>Šta je sistem menadžmenta kvalitetom?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Objasniti ISO 14000 standard.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Objasniti ISO 22000 standard.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Objasniti OHSAS 18001 standard.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Objasniti HACCP standard.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Navesti principe HACCP standarda.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it-IT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it-IT"/>
        </w:rPr>
        <w:t>Navesti prednosti HACCP standarda za potrošače.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it-IT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it-IT"/>
        </w:rPr>
        <w:t>Navesti prednosti HACCP standarda za preduzeća.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Navedite uslove za dobijanje Organic (BIO) standarda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Objasniti Košer standard.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Objasniti Halal standard.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it-IT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it-IT"/>
        </w:rPr>
        <w:t>Navedite prednosti dobijanja Halal standard.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Objasniti GlobalGap standard.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Navesti principe GlobalGap standarda.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BRC (pojam, ciljevi, principi)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Definišite pojam marketinga.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Defini</w:t>
      </w:r>
      <w:r w:rsidRPr="009F749A">
        <w:rPr>
          <w:rFonts w:ascii="Cambria Math" w:eastAsia="Times New Roman" w:hAnsi="Cambria Math" w:cs="Times New Roman"/>
          <w:sz w:val="26"/>
          <w:szCs w:val="26"/>
        </w:rPr>
        <w:t>šite marketing u savremenom agraru.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it-IT"/>
        </w:rPr>
      </w:pPr>
      <w:bookmarkStart w:id="1" w:name="OLE_LINK1"/>
      <w:r w:rsidRPr="009F749A">
        <w:rPr>
          <w:rFonts w:ascii="Cambria Math" w:eastAsia="Times New Roman" w:hAnsi="Cambria Math" w:cs="Times New Roman"/>
          <w:sz w:val="26"/>
          <w:szCs w:val="26"/>
          <w:lang w:val="it-IT"/>
        </w:rPr>
        <w:t>Koncepti poslovanja – navesti i objasniti.</w:t>
      </w:r>
    </w:p>
    <w:bookmarkEnd w:id="1"/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Navesti instrumente marketinga – 4P i 3C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Ograničavajući faktori primene marketinga u poljoprivredi.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Šta zahteva marketing strategija?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Navesti unutrašnje faktore koji deluju na poljoprivredno preduzeće.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Navesti spoljne faktore koji deluju na poljoprivredno preduzeće.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SWOT analiza.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pl-PL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pl-PL"/>
        </w:rPr>
        <w:t>Šta se podrazumeva pod ciljnim tržištem?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jc w:val="both"/>
        <w:rPr>
          <w:rFonts w:ascii="Cambria Math" w:eastAsia="Times New Roman" w:hAnsi="Cambria Math" w:cs="Times New Roman"/>
          <w:sz w:val="26"/>
          <w:szCs w:val="26"/>
          <w:lang w:val="pl-PL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pl-PL"/>
        </w:rPr>
        <w:t>Definišite pojam segmentacije tržišta i navedite nekoliko kriterijuma za</w:t>
      </w: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 xml:space="preserve"> </w:t>
      </w:r>
      <w:r w:rsidRPr="009F749A">
        <w:rPr>
          <w:rFonts w:ascii="Cambria Math" w:eastAsia="Times New Roman" w:hAnsi="Cambria Math" w:cs="Times New Roman"/>
          <w:sz w:val="26"/>
          <w:szCs w:val="26"/>
          <w:lang w:val="pl-PL"/>
        </w:rPr>
        <w:t>segmentaciju.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pl-PL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pl-PL"/>
        </w:rPr>
        <w:lastRenderedPageBreak/>
        <w:t>Koji su elementi bitni za proizvod u marketinškom pristupu?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Navesti instrumente promotivnog miksa.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Objasnite šta je ekonomska propaganda i navedite medije ekomomske propagande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en-U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Objasnite šta je unapređenje prodaje i navedite akcije unapređenja prodaje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sr-Latn-CS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en-US"/>
        </w:rPr>
        <w:t>Nabrojati moguća tržišta poljoprivredno - prehrambenih proizvoda</w:t>
      </w:r>
    </w:p>
    <w:p w:rsidR="009F749A" w:rsidRPr="009F749A" w:rsidRDefault="009F749A" w:rsidP="009F749A">
      <w:pPr>
        <w:numPr>
          <w:ilvl w:val="0"/>
          <w:numId w:val="3"/>
        </w:numPr>
        <w:spacing w:after="0" w:line="240" w:lineRule="auto"/>
        <w:rPr>
          <w:rFonts w:ascii="Cambria Math" w:eastAsia="Times New Roman" w:hAnsi="Cambria Math" w:cs="Times New Roman"/>
          <w:sz w:val="26"/>
          <w:szCs w:val="26"/>
          <w:lang w:val="pl-PL"/>
        </w:rPr>
      </w:pPr>
      <w:r w:rsidRPr="009F749A">
        <w:rPr>
          <w:rFonts w:ascii="Cambria Math" w:eastAsia="Times New Roman" w:hAnsi="Cambria Math" w:cs="Times New Roman"/>
          <w:sz w:val="26"/>
          <w:szCs w:val="26"/>
          <w:lang w:val="sr-Latn-CS"/>
        </w:rPr>
        <w:t>Kanali distribucije – pojam, zadatak i globalna podela distributivnih kanala.</w:t>
      </w:r>
    </w:p>
    <w:p w:rsidR="009F749A" w:rsidRPr="009F749A" w:rsidRDefault="009F749A" w:rsidP="009F749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9F749A" w:rsidRPr="009F749A" w:rsidRDefault="009F749A" w:rsidP="009F7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Latn-CS"/>
        </w:rPr>
      </w:pPr>
      <w:r w:rsidRPr="009F749A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sr-Latn-CS"/>
        </w:rPr>
        <w:t>NAPOMENA</w:t>
      </w:r>
      <w:r w:rsidRPr="009F749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Latn-CS"/>
        </w:rPr>
        <w:t>: U okviru drugog kolokvijuma uključeni su zadaci koji se odnose na setvenu normu, izradu kalkulacije, izračunavanja produkrivnosti, ekonomičnosti i rentabilnosti kao i pokriće varijabilnih troškova.</w:t>
      </w:r>
    </w:p>
    <w:p w:rsidR="009F749A" w:rsidRPr="009F749A" w:rsidRDefault="009F749A" w:rsidP="009F7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15A68" w:rsidRPr="00464E20" w:rsidRDefault="00B15A68" w:rsidP="009F749A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sectPr w:rsidR="00B15A68" w:rsidRPr="00464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7AA"/>
    <w:multiLevelType w:val="hybridMultilevel"/>
    <w:tmpl w:val="C444125E"/>
    <w:lvl w:ilvl="0" w:tplc="1332A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AFE0C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61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07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5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EF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2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27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2D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1044EF"/>
    <w:multiLevelType w:val="hybridMultilevel"/>
    <w:tmpl w:val="6C6871B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B7564"/>
    <w:multiLevelType w:val="hybridMultilevel"/>
    <w:tmpl w:val="C444125E"/>
    <w:lvl w:ilvl="0" w:tplc="1332AD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AFE0C7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B61C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07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45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EFE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523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27A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2D6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8"/>
    <w:rsid w:val="003D3E6A"/>
    <w:rsid w:val="00464E20"/>
    <w:rsid w:val="004A066C"/>
    <w:rsid w:val="005C26B3"/>
    <w:rsid w:val="00721E00"/>
    <w:rsid w:val="009F749A"/>
    <w:rsid w:val="00B15A68"/>
    <w:rsid w:val="00C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7C8B"/>
  <w15:chartTrackingRefBased/>
  <w15:docId w15:val="{984771C8-B7DE-4517-9579-537C2210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2020-04-29T21:43:00Z</dcterms:created>
  <dcterms:modified xsi:type="dcterms:W3CDTF">2020-05-15T12:47:00Z</dcterms:modified>
</cp:coreProperties>
</file>