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5A" w:rsidRPr="004E00D0" w:rsidRDefault="00944C5A" w:rsidP="00944C5A">
      <w:pPr>
        <w:pStyle w:val="Heading3"/>
        <w:rPr>
          <w:webHidden/>
        </w:rPr>
      </w:pPr>
      <w:bookmarkStart w:id="0" w:name="_Toc411860961"/>
      <w:bookmarkStart w:id="1" w:name="_Toc432116937"/>
      <w:proofErr w:type="spellStart"/>
      <w:r w:rsidRPr="004E00D0">
        <w:t>Faktoring</w:t>
      </w:r>
      <w:bookmarkEnd w:id="0"/>
      <w:bookmarkEnd w:id="1"/>
      <w:proofErr w:type="spellEnd"/>
      <w:r>
        <w:t xml:space="preserve"> u </w:t>
      </w:r>
      <w:proofErr w:type="spellStart"/>
      <w:r>
        <w:t>Srbiji</w:t>
      </w:r>
      <w:proofErr w:type="spellEnd"/>
      <w:r w:rsidRPr="004E00D0">
        <w:rPr>
          <w:webHidden/>
        </w:rPr>
        <w:tab/>
      </w:r>
    </w:p>
    <w:p w:rsidR="00944C5A" w:rsidRPr="009566D6" w:rsidRDefault="00944C5A" w:rsidP="00944C5A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Faktoring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moderan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često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korišćen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finansijski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instrument,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veliku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primenu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razvijenim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zemljama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Iako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Srbiji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tek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počeo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razvijati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velik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značaj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mala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jer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zasniva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oceni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kreditne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sposobnosti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kvaliteta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potraživanja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44C5A" w:rsidRPr="009566D6" w:rsidRDefault="00944C5A" w:rsidP="00944C5A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Faktoringom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Republici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Srbiji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bave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oslovne banke, f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aktoring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kompanije i 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Agencija za osiguranje i finansiranje izvoza (AOFI). </w:t>
      </w:r>
    </w:p>
    <w:p w:rsidR="00944C5A" w:rsidRPr="009566D6" w:rsidRDefault="00944C5A" w:rsidP="00944C5A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Provizija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faktoringa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fiksni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trošak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obično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iznosi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1</w:t>
      </w:r>
      <w:proofErr w:type="gram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2,5%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iznosa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potraživanja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4C5A" w:rsidRPr="009566D6" w:rsidRDefault="00944C5A" w:rsidP="00944C5A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postoje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mnog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prednosti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prepreke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utiču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usporavanje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razvoja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faktoringa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Srbiji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čestih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ašnjenja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izmirenju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duži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rokov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plaćanja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zahtevaju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kupci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87175E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ovi </w:t>
      </w:r>
      <w:proofErr w:type="spellStart"/>
      <w:r w:rsidR="0087175E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zakon</w:t>
      </w:r>
      <w:proofErr w:type="spellEnd"/>
      <w:r w:rsidR="0087175E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o </w:t>
      </w:r>
      <w:proofErr w:type="spellStart"/>
      <w:proofErr w:type="gramStart"/>
      <w:r w:rsidR="0087175E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faktoringu</w:t>
      </w:r>
      <w:proofErr w:type="spellEnd"/>
      <w:r w:rsidR="0087175E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doprineće</w:t>
      </w:r>
      <w:proofErr w:type="spellEnd"/>
      <w:proofErr w:type="gram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povećanju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nivoa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naplate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potraživanja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time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povećanju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likvidnosti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povećanju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pravne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sigurnosti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učesnika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faktoringu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Ovo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moglo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uticati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poboljšanje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kreditne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sposobnosti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time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veće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dostupnosti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izvora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finansiranja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87175E" w:rsidRPr="0087175E" w:rsidRDefault="0087175E" w:rsidP="0087175E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Prema podacima Privredne komore Srbije, u</w:t>
      </w:r>
      <w:r w:rsidRPr="008717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2018. godini, na osnovu podataka 19 faktora, ostvaren je promet faktoringa u iznosu od  759.398.666 evra, što je za 24,5% više u odnosu na  2017. godinu. Taj iznos, prema podacima međunarodne faktoring asocijacije FCI, svrstava Srbiju u grupu zemalja sa visokim stopama rasta.</w:t>
      </w:r>
    </w:p>
    <w:p w:rsidR="0087175E" w:rsidRDefault="0087175E" w:rsidP="0087175E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717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U ukupnom prometu</w:t>
      </w:r>
      <w:r w:rsidR="00B2739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Pr="008717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banke učestvuju sa 83,9%, a kompanije i AOFI sa 16,1%. Na domaćem tržištu ostvareno je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89,9% prometa uz rast od 24,5%.</w:t>
      </w:r>
      <w:r w:rsidRPr="008717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Međunarodni faktoring je ostvaren u iznosu od 76.769.190 evra ili 10,1% ukupnog prometa, sa rastom od 24% u odnosu na prethodnu godinu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(Privredna komora Srbije)</w:t>
      </w:r>
      <w:r w:rsidRPr="008717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</w:t>
      </w:r>
    </w:p>
    <w:p w:rsidR="0087175E" w:rsidRPr="0087175E" w:rsidRDefault="0087175E" w:rsidP="0087175E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</w:t>
      </w:r>
      <w:r w:rsidRPr="008717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otencijal za dalji rast faktoringa postoji, pre svega kroz razvoj međunarodnog faktoring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a, ali je u narednom periodu ne</w:t>
      </w:r>
      <w:r w:rsidRPr="008717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ophodna edukacija klijenata i promocija faktoringa, kao i unapređenja pravnog i regulatornog okvira za razvoj ovog alternativnog načina finansiranja privrede.</w:t>
      </w:r>
    </w:p>
    <w:p w:rsidR="00944C5A" w:rsidRDefault="00944C5A" w:rsidP="00944C5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zaključiti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pored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edukacije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preduzeća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,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faktoring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slabo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zastupljena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opcija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za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ubrzanje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naplate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potraživanja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Srbiji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</w:p>
    <w:p w:rsidR="00B131DA" w:rsidRDefault="00B131DA" w:rsidP="00944C5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tabele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nastavku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teksta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možemo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primetiti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ciklično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kretanje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obima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faktoringa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Srbiji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prethodnom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periodu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. </w:t>
      </w:r>
    </w:p>
    <w:p w:rsidR="00944C5A" w:rsidRDefault="00B131DA" w:rsidP="00944C5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noProof/>
          <w:lang w:val="en-US"/>
        </w:rPr>
        <w:lastRenderedPageBreak/>
        <w:drawing>
          <wp:inline distT="0" distB="0" distL="0" distR="0" wp14:anchorId="5559E402" wp14:editId="748D02BB">
            <wp:extent cx="5267325" cy="78771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686" t="6222" r="29808" b="-6222"/>
                    <a:stretch/>
                  </pic:blipFill>
                  <pic:spPr bwMode="auto">
                    <a:xfrm>
                      <a:off x="0" y="0"/>
                      <a:ext cx="5267325" cy="787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C5A" w:rsidRDefault="00B131DA" w:rsidP="00944C5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Izvor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: FCI, 2020, </w:t>
      </w:r>
      <w:r w:rsidRPr="00B131DA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https://fci.nl/about-factoring/2018_World_Factoring_Statistics.pdf</w:t>
      </w:r>
    </w:p>
    <w:p w:rsidR="00B131DA" w:rsidRPr="00B131DA" w:rsidRDefault="00B131DA" w:rsidP="00944C5A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</w:pP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lastRenderedPageBreak/>
        <w:t>Zadatak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: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Molim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Vas da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prokomentarišete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tabelu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!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Kakav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je trend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prometa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faktoringa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u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Srbiji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po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godinama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kao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i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u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odnosu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na</w:t>
      </w:r>
      <w:proofErr w:type="spellEnd"/>
      <w:proofErr w:type="gram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zemlje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 xml:space="preserve"> u </w:t>
      </w:r>
      <w:proofErr w:type="spellStart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okruženju</w:t>
      </w:r>
      <w:proofErr w:type="spellEnd"/>
      <w:r w:rsidRPr="00B131DA">
        <w:rPr>
          <w:rFonts w:ascii="Times New Roman" w:eastAsia="Times New Roman" w:hAnsi="Times New Roman" w:cs="Times New Roman"/>
          <w:b/>
          <w:sz w:val="24"/>
          <w:szCs w:val="24"/>
          <w:lang w:val="en-US" w:eastAsia="sr-Latn-RS"/>
        </w:rPr>
        <w:t>.</w:t>
      </w:r>
    </w:p>
    <w:p w:rsidR="00B131DA" w:rsidRDefault="00B131DA" w:rsidP="00944C5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944C5A" w:rsidRPr="009566D6" w:rsidRDefault="00B2739E" w:rsidP="00944C5A">
      <w:pPr>
        <w:pStyle w:val="Heading3"/>
      </w:pPr>
      <w:proofErr w:type="spellStart"/>
      <w:r>
        <w:t>P</w:t>
      </w:r>
      <w:r w:rsidR="00944C5A" w:rsidRPr="009566D6">
        <w:t>oslovni</w:t>
      </w:r>
      <w:proofErr w:type="spellEnd"/>
      <w:r w:rsidR="00944C5A" w:rsidRPr="009566D6">
        <w:t xml:space="preserve"> </w:t>
      </w:r>
      <w:proofErr w:type="spellStart"/>
      <w:r w:rsidR="00944C5A" w:rsidRPr="009566D6">
        <w:t>anđeli</w:t>
      </w:r>
      <w:proofErr w:type="spellEnd"/>
      <w:r>
        <w:t xml:space="preserve"> u </w:t>
      </w:r>
      <w:proofErr w:type="spellStart"/>
      <w:r>
        <w:t>Srbiji</w:t>
      </w:r>
      <w:proofErr w:type="spellEnd"/>
    </w:p>
    <w:p w:rsidR="00944C5A" w:rsidRPr="004E00D0" w:rsidRDefault="00944C5A" w:rsidP="00944C5A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Nakon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početne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faze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razvoja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preduzeća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potrebe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kapitalom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veće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U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razvijenim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zemljama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fazi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rasta</w:t>
      </w:r>
      <w:proofErr w:type="spellEnd"/>
      <w:proofErr w:type="gram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preduzeća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veliku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ulogu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imaju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fondovi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rizičnog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kapitala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E6022">
        <w:rPr>
          <w:rFonts w:ascii="Times New Roman" w:eastAsia="Calibri" w:hAnsi="Times New Roman" w:cs="Times New Roman"/>
          <w:i/>
          <w:sz w:val="24"/>
          <w:szCs w:val="24"/>
          <w:lang w:val="en-US"/>
        </w:rPr>
        <w:t>venture capital</w:t>
      </w:r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investicioni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fondovi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poslovni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>anđeli</w:t>
      </w:r>
      <w:proofErr w:type="spellEnd"/>
      <w:r w:rsidRPr="004E0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nedostatka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dugoročnih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izvora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finansiranja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razvoj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malih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00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</w:t>
      </w:r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Srbiji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svetu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jednostavan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Tek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osnovana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obično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nemaju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E602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venture</w:t>
      </w:r>
      <w:r w:rsidRPr="00FE602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capital</w:t>
      </w:r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fondovima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proofErr w:type="gram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bankarskim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kreditima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često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moguć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nepostojanja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alternativnih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izvora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finansiranja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mnoga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obustavljaju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poslovanje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već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samom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početku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4C5A" w:rsidRPr="004E00D0" w:rsidRDefault="00944C5A" w:rsidP="00944C5A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ao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ostalim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zemljama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tako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Srbiji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rizični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kapital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još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uvek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igra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sporednu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ulogu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izvor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finansiranja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Osim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početnih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aktivnosti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Mreže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poslovnih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anđela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Srbije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osnovana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proofErr w:type="gram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ulaganje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rizičnog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kapitala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935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mezzanine</w:t>
      </w:r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finansiranja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tek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povoju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44C5A" w:rsidRPr="004E00D0" w:rsidRDefault="00944C5A" w:rsidP="00944C5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Republici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Srbiji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još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uvek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postoji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efikasan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reguliše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osnivanje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investicionih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fondova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pa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samim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tim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finansijskih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instrumenata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E60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venture capital</w:t>
      </w:r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poslovni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anđeli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E60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mezzanine</w:t>
      </w:r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finansiranje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sl.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Osim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izmene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odnose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registraciju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finansiranje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ulaganja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preduzeće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potom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izlazak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njega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potrebno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učiniti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napore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cilju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motivisanja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ulaganje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fondove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rizičnog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kapitala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44C5A" w:rsidRPr="004E00D0" w:rsidRDefault="00944C5A" w:rsidP="00944C5A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Cilj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Mreže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poslovnih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anđela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Srbije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da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spoji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poslovne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ljude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žele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investiraju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preduzetnike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dobrim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projektom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poslovnim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planom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Reč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o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neformalnim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investitorima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ulažu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sopstvena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sredstva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vlasnički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udeo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preduzeću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procenat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dobiti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fizička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pravna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lica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osim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apitala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ulažu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iskustvo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pomoć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upravljanju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4C5A" w:rsidRPr="002C59A6" w:rsidRDefault="00944C5A" w:rsidP="00944C5A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292A20"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proofErr w:type="spellStart"/>
      <w:r w:rsidRPr="00292A20">
        <w:rPr>
          <w:rFonts w:ascii="Times New Roman" w:eastAsia="Arial" w:hAnsi="Times New Roman" w:cs="Times New Roman"/>
          <w:iCs/>
          <w:sz w:val="24"/>
          <w:szCs w:val="24"/>
          <w:lang w:val="en-US"/>
        </w:rPr>
        <w:t>Strategija</w:t>
      </w:r>
      <w:proofErr w:type="spellEnd"/>
      <w:r w:rsidRPr="00292A20">
        <w:rPr>
          <w:rFonts w:ascii="Times New Roman" w:eastAsia="Arial" w:hAnsi="Times New Roman" w:cs="Times New Roman"/>
          <w:iCs/>
          <w:sz w:val="24"/>
          <w:szCs w:val="24"/>
          <w:lang w:val="en-US"/>
        </w:rPr>
        <w:t xml:space="preserve"> </w:t>
      </w:r>
      <w:r w:rsidRPr="00292A20">
        <w:rPr>
          <w:rStyle w:val="Emphasis"/>
          <w:rFonts w:ascii="Times New Roman" w:eastAsia="Arial" w:hAnsi="Times New Roman" w:cs="Times New Roman"/>
          <w:i w:val="0"/>
          <w:sz w:val="24"/>
          <w:szCs w:val="24"/>
        </w:rPr>
        <w:t>za podršku razvoja malih i srednjih preduzeća,</w:t>
      </w:r>
      <w:r w:rsidRPr="00292A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A20">
        <w:rPr>
          <w:rFonts w:ascii="Times New Roman" w:eastAsia="Times New Roman" w:hAnsi="Times New Roman" w:cs="Times New Roman"/>
          <w:sz w:val="24"/>
          <w:szCs w:val="24"/>
          <w:lang w:val="en-US"/>
        </w:rPr>
        <w:t>preduzetništva</w:t>
      </w:r>
      <w:proofErr w:type="spellEnd"/>
      <w:r w:rsidRPr="00292A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A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92A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A20">
        <w:rPr>
          <w:rFonts w:ascii="Times New Roman" w:eastAsia="Times New Roman" w:hAnsi="Times New Roman" w:cs="Times New Roman"/>
          <w:sz w:val="24"/>
          <w:szCs w:val="24"/>
          <w:lang w:val="en-US"/>
        </w:rPr>
        <w:t>konkurentnosti</w:t>
      </w:r>
      <w:proofErr w:type="spellEnd"/>
      <w:r w:rsidRPr="00292A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A20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292A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period </w:t>
      </w:r>
      <w:proofErr w:type="spellStart"/>
      <w:proofErr w:type="gramStart"/>
      <w:r w:rsidRPr="00292A20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292A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2A20">
        <w:rPr>
          <w:rFonts w:ascii="Times New Roman" w:eastAsia="Arial" w:hAnsi="Times New Roman" w:cs="Times New Roman"/>
          <w:iCs/>
          <w:sz w:val="24"/>
          <w:szCs w:val="24"/>
          <w:lang w:val="en-US"/>
        </w:rPr>
        <w:t xml:space="preserve">2015. </w:t>
      </w:r>
      <w:proofErr w:type="gramStart"/>
      <w:r w:rsidRPr="00292A20">
        <w:rPr>
          <w:rFonts w:ascii="Times New Roman" w:eastAsia="Arial" w:hAnsi="Times New Roman" w:cs="Times New Roman"/>
          <w:iCs/>
          <w:sz w:val="24"/>
          <w:szCs w:val="24"/>
          <w:lang w:val="en-US"/>
        </w:rPr>
        <w:t>do</w:t>
      </w:r>
      <w:proofErr w:type="gramEnd"/>
      <w:r w:rsidRPr="00292A20">
        <w:rPr>
          <w:rFonts w:ascii="Times New Roman" w:eastAsia="Arial" w:hAnsi="Times New Roman" w:cs="Times New Roman"/>
          <w:iCs/>
          <w:sz w:val="24"/>
          <w:szCs w:val="24"/>
          <w:lang w:val="en-US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stimuliše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razvoj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okruženja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ulaganje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alternativnih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finansiranja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kroz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sledeće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C5A" w:rsidRPr="004E00D0" w:rsidRDefault="00944C5A" w:rsidP="00944C5A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E00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kreiranje odgovarajućeg zakonodavnog okvira za ulaganje rizičnog kapitala i privatne investicione fondove u skladu sa propisima Evropske unije; </w:t>
      </w:r>
    </w:p>
    <w:p w:rsidR="00944C5A" w:rsidRPr="004E00D0" w:rsidRDefault="00944C5A" w:rsidP="00944C5A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E00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usvajanje novog Zakona o društvima rizičnog kapitala sa ciljem stvaranja podsticajnog okruženja za razvoj fondova rizičnog kapitala; </w:t>
      </w:r>
    </w:p>
    <w:p w:rsidR="00944C5A" w:rsidRDefault="00944C5A" w:rsidP="00944C5A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E00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osnivanje javnih fondova za sufinansiranje, koji bi zajednički ulagali sa privatnim fodovima; </w:t>
      </w:r>
    </w:p>
    <w:p w:rsidR="00944C5A" w:rsidRPr="002C59A6" w:rsidRDefault="00944C5A" w:rsidP="00944C5A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59A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formiranje baze projekata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koji bi bili atraktivni</w:t>
      </w:r>
      <w:r w:rsidRPr="002C59A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privlačenje</w:t>
      </w:r>
      <w:r w:rsidRPr="002C59A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rizičnog kapitala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A93" w:rsidRDefault="00944C5A" w:rsidP="00AF25BC">
      <w:pPr>
        <w:autoSpaceDE w:val="0"/>
        <w:autoSpaceDN w:val="0"/>
        <w:adjustRightInd w:val="0"/>
        <w:spacing w:before="120" w:after="0"/>
        <w:jc w:val="both"/>
      </w:pP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Ipak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nisu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sva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pogodna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finansiranje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strane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E60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venture</w:t>
      </w:r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E60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capital</w:t>
      </w:r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fondova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poslovnih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anđela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Predmet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ulaganja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projekti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visokim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internim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stopama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rasta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ispune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visoke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poslovne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standarde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cilju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maksimizacije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prinosa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potencijalne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investitore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Stoga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selekcija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veoma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rigorozna</w:t>
      </w:r>
      <w:proofErr w:type="spellEnd"/>
      <w:r w:rsidRPr="004E00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2" w:name="_GoBack"/>
      <w:bookmarkEnd w:id="2"/>
    </w:p>
    <w:sectPr w:rsidR="00D8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26ED"/>
    <w:multiLevelType w:val="hybridMultilevel"/>
    <w:tmpl w:val="87A08A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71"/>
    <w:rsid w:val="004640FB"/>
    <w:rsid w:val="00470471"/>
    <w:rsid w:val="0053539A"/>
    <w:rsid w:val="0087175E"/>
    <w:rsid w:val="00944C5A"/>
    <w:rsid w:val="00AF25BC"/>
    <w:rsid w:val="00B131DA"/>
    <w:rsid w:val="00B2739E"/>
    <w:rsid w:val="00D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52701-10C9-4838-B245-1E66E782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5A"/>
    <w:pPr>
      <w:spacing w:after="200" w:line="276" w:lineRule="auto"/>
    </w:pPr>
    <w:rPr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944C5A"/>
    <w:pPr>
      <w:keepNext/>
      <w:spacing w:before="240" w:after="120" w:line="240" w:lineRule="auto"/>
      <w:outlineLvl w:val="2"/>
    </w:pPr>
    <w:rPr>
      <w:rFonts w:ascii="Times New Roman" w:eastAsia="Times New Roman" w:hAnsi="Times New Roman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4C5A"/>
    <w:rPr>
      <w:rFonts w:ascii="Times New Roman" w:eastAsia="Times New Roman" w:hAnsi="Times New Roman" w:cs="Arial"/>
      <w:b/>
      <w:bCs/>
      <w:szCs w:val="26"/>
    </w:rPr>
  </w:style>
  <w:style w:type="character" w:styleId="Emphasis">
    <w:name w:val="Emphasis"/>
    <w:uiPriority w:val="20"/>
    <w:qFormat/>
    <w:rsid w:val="00944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2020-05-09T20:56:00Z</dcterms:created>
  <dcterms:modified xsi:type="dcterms:W3CDTF">2020-05-09T22:16:00Z</dcterms:modified>
</cp:coreProperties>
</file>