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E9" w:rsidRPr="009C79F8" w:rsidRDefault="00A8147E" w:rsidP="0010260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C79F8">
        <w:rPr>
          <w:rFonts w:ascii="Times New Roman" w:hAnsi="Times New Roman"/>
          <w:b/>
          <w:sz w:val="24"/>
          <w:szCs w:val="24"/>
        </w:rPr>
        <w:t>Uputstvo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pisanje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seminarskog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rada</w:t>
      </w:r>
      <w:proofErr w:type="spellEnd"/>
    </w:p>
    <w:p w:rsidR="00A8147E" w:rsidRPr="009C79F8" w:rsidRDefault="00A8147E" w:rsidP="00102602">
      <w:pPr>
        <w:jc w:val="both"/>
        <w:rPr>
          <w:rFonts w:ascii="Times New Roman" w:hAnsi="Times New Roman"/>
          <w:sz w:val="24"/>
          <w:szCs w:val="24"/>
        </w:rPr>
      </w:pPr>
    </w:p>
    <w:p w:rsidR="00A8147E" w:rsidRPr="009C79F8" w:rsidRDefault="00A8147E" w:rsidP="00102602">
      <w:pPr>
        <w:jc w:val="both"/>
        <w:rPr>
          <w:rFonts w:ascii="Times New Roman" w:hAnsi="Times New Roman"/>
          <w:sz w:val="24"/>
          <w:szCs w:val="24"/>
        </w:rPr>
      </w:pPr>
      <w:r w:rsidRPr="009C79F8">
        <w:rPr>
          <w:rFonts w:ascii="Times New Roman" w:hAnsi="Times New Roman"/>
          <w:sz w:val="24"/>
          <w:szCs w:val="24"/>
        </w:rPr>
        <w:t xml:space="preserve">Student je u </w:t>
      </w:r>
      <w:proofErr w:type="spellStart"/>
      <w:r w:rsidRPr="009C79F8">
        <w:rPr>
          <w:rFonts w:ascii="Times New Roman" w:hAnsi="Times New Roman"/>
          <w:sz w:val="24"/>
          <w:szCs w:val="24"/>
        </w:rPr>
        <w:t>obavezi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9C79F8">
        <w:rPr>
          <w:rFonts w:ascii="Times New Roman" w:hAnsi="Times New Roman"/>
          <w:sz w:val="24"/>
          <w:szCs w:val="24"/>
        </w:rPr>
        <w:t>javi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premetnom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asistentu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79F8">
        <w:rPr>
          <w:rFonts w:ascii="Times New Roman" w:hAnsi="Times New Roman"/>
          <w:sz w:val="24"/>
          <w:szCs w:val="24"/>
        </w:rPr>
        <w:t>kako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bi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dostavio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naziv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proizvodnog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preduzeća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356945" w:rsidRPr="009C79F8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kako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bi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dobio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naziv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proizvodnog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preduzeća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>)</w:t>
      </w:r>
      <w:r w:rsidRPr="009C79F8">
        <w:rPr>
          <w:rFonts w:ascii="Times New Roman" w:hAnsi="Times New Roman"/>
          <w:sz w:val="24"/>
          <w:szCs w:val="24"/>
        </w:rPr>
        <w:t xml:space="preserve"> </w:t>
      </w:r>
      <w:r w:rsidR="00356945" w:rsidRPr="009C79F8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kome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će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pisati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seminarski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rad.</w:t>
      </w:r>
    </w:p>
    <w:p w:rsidR="00A8147E" w:rsidRPr="009C79F8" w:rsidRDefault="00A8147E" w:rsidP="0010260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Seminarski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rad </w:t>
      </w:r>
      <w:proofErr w:type="spellStart"/>
      <w:r w:rsidRPr="009C79F8">
        <w:rPr>
          <w:rFonts w:ascii="Times New Roman" w:hAnsi="Times New Roman"/>
          <w:sz w:val="24"/>
          <w:szCs w:val="24"/>
        </w:rPr>
        <w:t>treba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9C79F8">
        <w:rPr>
          <w:rFonts w:ascii="Times New Roman" w:hAnsi="Times New Roman"/>
          <w:sz w:val="24"/>
          <w:szCs w:val="24"/>
        </w:rPr>
        <w:t>sadrži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sledeće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elemente</w:t>
      </w:r>
      <w:proofErr w:type="spellEnd"/>
      <w:r w:rsidRPr="009C79F8">
        <w:rPr>
          <w:rFonts w:ascii="Times New Roman" w:hAnsi="Times New Roman"/>
          <w:sz w:val="24"/>
          <w:szCs w:val="24"/>
        </w:rPr>
        <w:t>:</w:t>
      </w:r>
    </w:p>
    <w:p w:rsidR="00A8147E" w:rsidRPr="009C79F8" w:rsidRDefault="00206F7B" w:rsidP="0010260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Predstavite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preduzeće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047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delatnost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47E" w:rsidRPr="009C79F8">
        <w:rPr>
          <w:rFonts w:ascii="Times New Roman" w:hAnsi="Times New Roman"/>
          <w:sz w:val="24"/>
          <w:szCs w:val="24"/>
        </w:rPr>
        <w:t>preduzeća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A8147E" w:rsidRPr="009C79F8" w:rsidRDefault="002603B8" w:rsidP="0010260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Izračunajte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>:</w:t>
      </w:r>
    </w:p>
    <w:p w:rsidR="002603B8" w:rsidRPr="009C79F8" w:rsidRDefault="002603B8" w:rsidP="002603B8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Tekući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racio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likvidnosti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racio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gotovine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ili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brzi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test </w:t>
      </w:r>
      <w:proofErr w:type="spellStart"/>
      <w:r w:rsidRPr="009C79F8">
        <w:rPr>
          <w:rFonts w:ascii="Times New Roman" w:hAnsi="Times New Roman"/>
          <w:sz w:val="24"/>
          <w:szCs w:val="24"/>
        </w:rPr>
        <w:t>likvidnosti</w:t>
      </w:r>
      <w:proofErr w:type="spellEnd"/>
      <w:r w:rsidRPr="009C79F8">
        <w:rPr>
          <w:rFonts w:ascii="Times New Roman" w:hAnsi="Times New Roman"/>
          <w:sz w:val="24"/>
          <w:szCs w:val="24"/>
        </w:rPr>
        <w:t>,</w:t>
      </w:r>
    </w:p>
    <w:p w:rsidR="00E06001" w:rsidRPr="009C79F8" w:rsidRDefault="00E06001" w:rsidP="00E06001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Neto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obrtni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kapital</w:t>
      </w:r>
      <w:proofErr w:type="spellEnd"/>
      <w:r w:rsidRPr="009C79F8">
        <w:rPr>
          <w:rFonts w:ascii="Times New Roman" w:hAnsi="Times New Roman"/>
          <w:sz w:val="24"/>
          <w:szCs w:val="24"/>
        </w:rPr>
        <w:t>,</w:t>
      </w:r>
      <w:r w:rsidR="00D82E38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38" w:rsidRPr="009C79F8">
        <w:rPr>
          <w:rFonts w:ascii="Times New Roman" w:hAnsi="Times New Roman"/>
          <w:sz w:val="24"/>
          <w:szCs w:val="24"/>
        </w:rPr>
        <w:t>racio</w:t>
      </w:r>
      <w:proofErr w:type="spellEnd"/>
      <w:r w:rsidR="00D82E38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38" w:rsidRPr="009C79F8">
        <w:rPr>
          <w:rFonts w:ascii="Times New Roman" w:hAnsi="Times New Roman"/>
          <w:sz w:val="24"/>
          <w:szCs w:val="24"/>
        </w:rPr>
        <w:t>neto</w:t>
      </w:r>
      <w:proofErr w:type="spellEnd"/>
      <w:r w:rsidR="00D82E38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38" w:rsidRPr="009C79F8">
        <w:rPr>
          <w:rFonts w:ascii="Times New Roman" w:hAnsi="Times New Roman"/>
          <w:sz w:val="24"/>
          <w:szCs w:val="24"/>
        </w:rPr>
        <w:t>obrtnog</w:t>
      </w:r>
      <w:proofErr w:type="spellEnd"/>
      <w:r w:rsidR="00D82E38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38" w:rsidRPr="009C79F8">
        <w:rPr>
          <w:rFonts w:ascii="Times New Roman" w:hAnsi="Times New Roman"/>
          <w:sz w:val="24"/>
          <w:szCs w:val="24"/>
        </w:rPr>
        <w:t>kapitala</w:t>
      </w:r>
      <w:proofErr w:type="spellEnd"/>
      <w:r w:rsidR="00D82E38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6F4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="00A026F4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6F4" w:rsidRPr="009C79F8">
        <w:rPr>
          <w:rFonts w:ascii="Times New Roman" w:hAnsi="Times New Roman"/>
          <w:sz w:val="24"/>
          <w:szCs w:val="24"/>
        </w:rPr>
        <w:t>ukupne</w:t>
      </w:r>
      <w:proofErr w:type="spellEnd"/>
      <w:r w:rsidR="00A026F4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6F4" w:rsidRPr="009C79F8">
        <w:rPr>
          <w:rFonts w:ascii="Times New Roman" w:hAnsi="Times New Roman"/>
          <w:sz w:val="24"/>
          <w:szCs w:val="24"/>
        </w:rPr>
        <w:t>imovine</w:t>
      </w:r>
      <w:proofErr w:type="spellEnd"/>
    </w:p>
    <w:p w:rsidR="00A026F4" w:rsidRPr="009C79F8" w:rsidRDefault="00A026F4" w:rsidP="00A026F4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Racio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dugoročnog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duga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ukupnog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kapitala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79F8">
        <w:rPr>
          <w:rFonts w:ascii="Times New Roman" w:hAnsi="Times New Roman"/>
          <w:sz w:val="24"/>
          <w:szCs w:val="24"/>
        </w:rPr>
        <w:t>racio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ukupnog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duga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C79F8">
        <w:rPr>
          <w:rFonts w:ascii="Times New Roman" w:hAnsi="Times New Roman"/>
          <w:sz w:val="24"/>
          <w:szCs w:val="24"/>
        </w:rPr>
        <w:t>akcionarskog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kapitala</w:t>
      </w:r>
      <w:proofErr w:type="spellEnd"/>
      <w:r w:rsidRPr="009C79F8">
        <w:rPr>
          <w:rFonts w:ascii="Times New Roman" w:hAnsi="Times New Roman"/>
          <w:sz w:val="24"/>
          <w:szCs w:val="24"/>
        </w:rPr>
        <w:t>,</w:t>
      </w:r>
    </w:p>
    <w:p w:rsidR="00A8147E" w:rsidRPr="009C79F8" w:rsidRDefault="00A8147E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Koeficijenta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obrta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kupaca</w:t>
      </w:r>
      <w:proofErr w:type="spellEnd"/>
      <w:r w:rsidRPr="009C79F8">
        <w:rPr>
          <w:rFonts w:ascii="Times New Roman" w:hAnsi="Times New Roman"/>
          <w:sz w:val="24"/>
          <w:szCs w:val="24"/>
        </w:rPr>
        <w:t>/</w:t>
      </w:r>
      <w:proofErr w:type="spellStart"/>
      <w:r w:rsidRPr="009C79F8">
        <w:rPr>
          <w:rFonts w:ascii="Times New Roman" w:hAnsi="Times New Roman"/>
          <w:sz w:val="24"/>
          <w:szCs w:val="24"/>
        </w:rPr>
        <w:t>prosečnog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perioda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naplate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potraživanja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A8147E" w:rsidRPr="009C79F8" w:rsidRDefault="00A8147E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Koeficijent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obrta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zaliha</w:t>
      </w:r>
      <w:proofErr w:type="spellEnd"/>
      <w:r w:rsidRPr="009C79F8">
        <w:rPr>
          <w:rFonts w:ascii="Times New Roman" w:hAnsi="Times New Roman"/>
          <w:sz w:val="24"/>
          <w:szCs w:val="24"/>
        </w:rPr>
        <w:t>/</w:t>
      </w:r>
      <w:proofErr w:type="spellStart"/>
      <w:r w:rsidRPr="009C79F8">
        <w:rPr>
          <w:rFonts w:ascii="Times New Roman" w:hAnsi="Times New Roman"/>
          <w:sz w:val="24"/>
          <w:szCs w:val="24"/>
        </w:rPr>
        <w:t>prosečan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period </w:t>
      </w:r>
      <w:proofErr w:type="spellStart"/>
      <w:r w:rsidRPr="009C79F8">
        <w:rPr>
          <w:rFonts w:ascii="Times New Roman" w:hAnsi="Times New Roman"/>
          <w:sz w:val="24"/>
          <w:szCs w:val="24"/>
        </w:rPr>
        <w:t>obrta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zaliha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A8147E" w:rsidRPr="009C79F8" w:rsidRDefault="002603B8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9F8">
        <w:rPr>
          <w:rFonts w:ascii="Times New Roman" w:hAnsi="Times New Roman"/>
          <w:bCs/>
          <w:sz w:val="24"/>
          <w:lang w:val="sr-Latn-CS"/>
        </w:rPr>
        <w:t>Koeficijent obrta plaćanja spram dobavljača</w:t>
      </w:r>
      <w:r w:rsidRPr="009C79F8">
        <w:rPr>
          <w:rFonts w:ascii="Times New Roman" w:hAnsi="Times New Roman"/>
          <w:sz w:val="28"/>
          <w:szCs w:val="24"/>
        </w:rPr>
        <w:t xml:space="preserve"> </w:t>
      </w:r>
      <w:r w:rsidR="001A7D06" w:rsidRPr="009C79F8">
        <w:rPr>
          <w:rFonts w:ascii="Times New Roman" w:hAnsi="Times New Roman"/>
          <w:sz w:val="24"/>
          <w:szCs w:val="24"/>
        </w:rPr>
        <w:t>(kratk.obav.</w:t>
      </w:r>
      <w:r w:rsidRPr="009C79F8">
        <w:rPr>
          <w:rFonts w:ascii="Times New Roman" w:hAnsi="Times New Roman"/>
          <w:sz w:val="24"/>
          <w:szCs w:val="24"/>
        </w:rPr>
        <w:t>)</w:t>
      </w:r>
      <w:r w:rsidR="00A8147E" w:rsidRPr="009C79F8">
        <w:rPr>
          <w:rFonts w:ascii="Times New Roman" w:hAnsi="Times New Roman"/>
          <w:sz w:val="24"/>
          <w:szCs w:val="24"/>
        </w:rPr>
        <w:t xml:space="preserve">/prodečan period </w:t>
      </w:r>
      <w:proofErr w:type="spellStart"/>
      <w:r w:rsidR="00A8147E" w:rsidRPr="009C79F8">
        <w:rPr>
          <w:rFonts w:ascii="Times New Roman" w:hAnsi="Times New Roman"/>
          <w:sz w:val="24"/>
          <w:szCs w:val="24"/>
        </w:rPr>
        <w:t>plaćanja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47E" w:rsidRPr="009C79F8">
        <w:rPr>
          <w:rFonts w:ascii="Times New Roman" w:hAnsi="Times New Roman"/>
          <w:sz w:val="24"/>
          <w:szCs w:val="24"/>
        </w:rPr>
        <w:t>obaveza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47E" w:rsidRPr="009C79F8">
        <w:rPr>
          <w:rFonts w:ascii="Times New Roman" w:hAnsi="Times New Roman"/>
          <w:sz w:val="24"/>
          <w:szCs w:val="24"/>
        </w:rPr>
        <w:t>prema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47E" w:rsidRPr="009C79F8">
        <w:rPr>
          <w:rFonts w:ascii="Times New Roman" w:hAnsi="Times New Roman"/>
          <w:sz w:val="24"/>
          <w:szCs w:val="24"/>
        </w:rPr>
        <w:t>dobavljačima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A8147E" w:rsidRPr="009C79F8" w:rsidRDefault="00A8147E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Poslovni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ciklus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14D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14D" w:rsidRPr="009C79F8">
        <w:rPr>
          <w:rFonts w:ascii="Times New Roman" w:hAnsi="Times New Roman"/>
          <w:sz w:val="24"/>
          <w:szCs w:val="24"/>
        </w:rPr>
        <w:t>g</w:t>
      </w:r>
      <w:r w:rsidRPr="009C79F8">
        <w:rPr>
          <w:rFonts w:ascii="Times New Roman" w:hAnsi="Times New Roman"/>
          <w:sz w:val="24"/>
          <w:szCs w:val="24"/>
        </w:rPr>
        <w:t>otovinski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CFA" w:rsidRPr="009C79F8">
        <w:rPr>
          <w:rFonts w:ascii="Times New Roman" w:hAnsi="Times New Roman"/>
          <w:sz w:val="24"/>
          <w:szCs w:val="24"/>
        </w:rPr>
        <w:t>c</w:t>
      </w:r>
      <w:r w:rsidRPr="009C79F8">
        <w:rPr>
          <w:rFonts w:ascii="Times New Roman" w:hAnsi="Times New Roman"/>
          <w:sz w:val="24"/>
          <w:szCs w:val="24"/>
        </w:rPr>
        <w:t>iklus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3517C1" w:rsidRPr="009C79F8" w:rsidRDefault="00E06001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Stop</w:t>
      </w:r>
      <w:r w:rsidR="00E4514D" w:rsidRPr="009C79F8">
        <w:rPr>
          <w:rFonts w:ascii="Times New Roman" w:hAnsi="Times New Roman"/>
          <w:sz w:val="24"/>
          <w:szCs w:val="24"/>
        </w:rPr>
        <w:t>a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14D" w:rsidRPr="009C79F8">
        <w:rPr>
          <w:rFonts w:ascii="Times New Roman" w:hAnsi="Times New Roman"/>
          <w:sz w:val="24"/>
          <w:szCs w:val="24"/>
        </w:rPr>
        <w:t>neto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5102" w:rsidRPr="009C79F8">
        <w:rPr>
          <w:rFonts w:ascii="Times New Roman" w:hAnsi="Times New Roman"/>
          <w:sz w:val="24"/>
          <w:szCs w:val="24"/>
        </w:rPr>
        <w:t>dobiti</w:t>
      </w:r>
      <w:proofErr w:type="spellEnd"/>
      <w:r w:rsidR="00CC5102" w:rsidRPr="009C79F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C5102" w:rsidRPr="009C79F8">
        <w:rPr>
          <w:rFonts w:ascii="Times New Roman" w:hAnsi="Times New Roman"/>
          <w:sz w:val="24"/>
          <w:szCs w:val="24"/>
        </w:rPr>
        <w:t>marža</w:t>
      </w:r>
      <w:proofErr w:type="spellEnd"/>
      <w:r w:rsidR="00CC5102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5102" w:rsidRPr="009C79F8">
        <w:rPr>
          <w:rFonts w:ascii="Times New Roman" w:hAnsi="Times New Roman"/>
          <w:sz w:val="24"/>
          <w:szCs w:val="24"/>
        </w:rPr>
        <w:t>neto</w:t>
      </w:r>
      <w:proofErr w:type="spellEnd"/>
      <w:r w:rsidR="00CC5102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14D" w:rsidRPr="009C79F8">
        <w:rPr>
          <w:rFonts w:ascii="Times New Roman" w:hAnsi="Times New Roman"/>
          <w:sz w:val="24"/>
          <w:szCs w:val="24"/>
        </w:rPr>
        <w:t>profita</w:t>
      </w:r>
      <w:proofErr w:type="spellEnd"/>
      <w:r w:rsidR="00CC5102" w:rsidRPr="009C79F8">
        <w:rPr>
          <w:rFonts w:ascii="Times New Roman" w:hAnsi="Times New Roman"/>
          <w:sz w:val="24"/>
          <w:szCs w:val="24"/>
        </w:rPr>
        <w:t>)</w:t>
      </w:r>
      <w:r w:rsidR="00E4514D" w:rsidRPr="009C79F8">
        <w:rPr>
          <w:rFonts w:ascii="Times New Roman" w:hAnsi="Times New Roman"/>
          <w:sz w:val="24"/>
          <w:szCs w:val="24"/>
        </w:rPr>
        <w:t xml:space="preserve">, ROA </w:t>
      </w:r>
      <w:proofErr w:type="spellStart"/>
      <w:r w:rsidR="00E4514D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="003517C1" w:rsidRPr="009C79F8">
        <w:rPr>
          <w:rFonts w:ascii="Times New Roman" w:hAnsi="Times New Roman"/>
          <w:sz w:val="24"/>
          <w:szCs w:val="24"/>
        </w:rPr>
        <w:t xml:space="preserve"> ROE</w:t>
      </w:r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7542F3" w:rsidRPr="009C79F8" w:rsidRDefault="007542F3" w:rsidP="00102602">
      <w:pPr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C79F8">
        <w:rPr>
          <w:rFonts w:ascii="Times New Roman" w:hAnsi="Times New Roman"/>
          <w:b/>
          <w:sz w:val="24"/>
          <w:szCs w:val="24"/>
        </w:rPr>
        <w:t>Prilikom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izračunavanja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koeficijnata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potrebno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je da student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prikaže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odgovarajuću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formulu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444F" w:rsidRPr="009C79F8">
        <w:rPr>
          <w:rFonts w:ascii="Times New Roman" w:hAnsi="Times New Roman"/>
          <w:b/>
          <w:sz w:val="24"/>
          <w:szCs w:val="24"/>
        </w:rPr>
        <w:t>koeficijenta</w:t>
      </w:r>
      <w:proofErr w:type="spellEnd"/>
      <w:r w:rsidR="00D7444F" w:rsidRPr="009C79F8">
        <w:rPr>
          <w:rFonts w:ascii="Times New Roman" w:hAnsi="Times New Roman"/>
          <w:b/>
          <w:sz w:val="24"/>
          <w:szCs w:val="24"/>
        </w:rPr>
        <w:t xml:space="preserve"> </w:t>
      </w:r>
      <w:r w:rsidRPr="009C79F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formule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možete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naći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fajlu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Uputstvo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za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izračunavanje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koeficijenata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u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seminarskom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radu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uvrsti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vrednosti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nju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kao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da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napiše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objašnjenje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svakog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pojedinačnog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izračunatog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koeficijenta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skladu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C79F8">
        <w:rPr>
          <w:rFonts w:ascii="Times New Roman" w:hAnsi="Times New Roman"/>
          <w:b/>
          <w:sz w:val="24"/>
          <w:szCs w:val="24"/>
        </w:rPr>
        <w:t>sa</w:t>
      </w:r>
      <w:proofErr w:type="spellEnd"/>
      <w:proofErr w:type="gram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gradivom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prikazanim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fajlovima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PREDAVANJA / VEŽBE 3 –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finansijski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izveštaji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>.</w:t>
      </w:r>
    </w:p>
    <w:p w:rsidR="007542F3" w:rsidRPr="009C79F8" w:rsidRDefault="00A8147E" w:rsidP="00102602">
      <w:pPr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C79F8">
        <w:rPr>
          <w:rFonts w:ascii="Times New Roman" w:hAnsi="Times New Roman"/>
          <w:b/>
          <w:sz w:val="24"/>
          <w:szCs w:val="24"/>
        </w:rPr>
        <w:t>Sva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izračunavanja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neophodno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izvršiti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2958" w:rsidRPr="009C79F8">
        <w:rPr>
          <w:rFonts w:ascii="Times New Roman" w:hAnsi="Times New Roman"/>
          <w:b/>
          <w:sz w:val="24"/>
          <w:szCs w:val="24"/>
        </w:rPr>
        <w:t>poslednje</w:t>
      </w:r>
      <w:proofErr w:type="spellEnd"/>
      <w:r w:rsidR="00382958" w:rsidRPr="009C79F8">
        <w:rPr>
          <w:rFonts w:ascii="Times New Roman" w:hAnsi="Times New Roman"/>
          <w:b/>
          <w:sz w:val="24"/>
          <w:szCs w:val="24"/>
        </w:rPr>
        <w:t xml:space="preserve"> </w:t>
      </w:r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tri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godine</w:t>
      </w:r>
      <w:proofErr w:type="spellEnd"/>
      <w:r w:rsidR="00D7444F" w:rsidRPr="009C79F8">
        <w:rPr>
          <w:rFonts w:ascii="Times New Roman" w:hAnsi="Times New Roman"/>
          <w:b/>
          <w:sz w:val="24"/>
          <w:szCs w:val="24"/>
        </w:rPr>
        <w:t>.</w:t>
      </w:r>
    </w:p>
    <w:p w:rsidR="00EF0E7C" w:rsidRPr="009C79F8" w:rsidRDefault="00EF0E7C" w:rsidP="0010260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Diskusija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047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prepo</w:t>
      </w:r>
      <w:r w:rsidR="00625BD1" w:rsidRPr="009C79F8">
        <w:rPr>
          <w:rFonts w:ascii="Times New Roman" w:hAnsi="Times New Roman"/>
          <w:sz w:val="24"/>
          <w:szCs w:val="24"/>
        </w:rPr>
        <w:t>r</w:t>
      </w:r>
      <w:r w:rsidRPr="009C79F8">
        <w:rPr>
          <w:rFonts w:ascii="Times New Roman" w:hAnsi="Times New Roman"/>
          <w:sz w:val="24"/>
          <w:szCs w:val="24"/>
        </w:rPr>
        <w:t>uke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studenta</w:t>
      </w:r>
      <w:proofErr w:type="spellEnd"/>
      <w:r w:rsidR="00B93D4C" w:rsidRPr="009C79F8">
        <w:rPr>
          <w:rFonts w:ascii="Times New Roman" w:hAnsi="Times New Roman"/>
          <w:sz w:val="24"/>
          <w:szCs w:val="24"/>
        </w:rPr>
        <w:t xml:space="preserve"> </w:t>
      </w:r>
    </w:p>
    <w:p w:rsidR="00B93D4C" w:rsidRPr="009C79F8" w:rsidRDefault="00B93D4C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9F8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9C79F8">
        <w:rPr>
          <w:rFonts w:ascii="Times New Roman" w:hAnsi="Times New Roman"/>
          <w:sz w:val="24"/>
          <w:szCs w:val="24"/>
        </w:rPr>
        <w:t>kraju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rada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student </w:t>
      </w:r>
      <w:proofErr w:type="spellStart"/>
      <w:r w:rsidRPr="009C79F8">
        <w:rPr>
          <w:rFonts w:ascii="Times New Roman" w:hAnsi="Times New Roman"/>
          <w:sz w:val="24"/>
          <w:szCs w:val="24"/>
        </w:rPr>
        <w:t>treba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da u </w:t>
      </w:r>
      <w:proofErr w:type="spellStart"/>
      <w:r w:rsidR="00D7444F" w:rsidRPr="009C79F8">
        <w:rPr>
          <w:rFonts w:ascii="Times New Roman" w:hAnsi="Times New Roman"/>
          <w:sz w:val="24"/>
          <w:szCs w:val="24"/>
        </w:rPr>
        <w:t>zbirnoj</w:t>
      </w:r>
      <w:proofErr w:type="spellEnd"/>
      <w:r w:rsidR="00D7444F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tabeli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prikaže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sve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izračunate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koeficijente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za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sve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tri </w:t>
      </w:r>
      <w:proofErr w:type="spellStart"/>
      <w:r w:rsidRPr="009C79F8">
        <w:rPr>
          <w:rFonts w:ascii="Times New Roman" w:hAnsi="Times New Roman"/>
          <w:sz w:val="24"/>
          <w:szCs w:val="24"/>
        </w:rPr>
        <w:t>godine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, da </w:t>
      </w:r>
      <w:proofErr w:type="spellStart"/>
      <w:r w:rsidRPr="009C79F8">
        <w:rPr>
          <w:rFonts w:ascii="Times New Roman" w:hAnsi="Times New Roman"/>
          <w:sz w:val="24"/>
          <w:szCs w:val="24"/>
        </w:rPr>
        <w:t>sagleda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trend </w:t>
      </w:r>
      <w:proofErr w:type="spellStart"/>
      <w:r w:rsidRPr="009C79F8">
        <w:rPr>
          <w:rFonts w:ascii="Times New Roman" w:hAnsi="Times New Roman"/>
          <w:sz w:val="24"/>
          <w:szCs w:val="24"/>
        </w:rPr>
        <w:t>kretanja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koeficijenata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79F8">
        <w:rPr>
          <w:rFonts w:ascii="Times New Roman" w:hAnsi="Times New Roman"/>
          <w:sz w:val="24"/>
          <w:szCs w:val="24"/>
        </w:rPr>
        <w:t>jake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strane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5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="00C21F45" w:rsidRPr="009C79F8">
        <w:rPr>
          <w:rFonts w:ascii="Times New Roman" w:hAnsi="Times New Roman"/>
          <w:sz w:val="24"/>
          <w:szCs w:val="24"/>
        </w:rPr>
        <w:t xml:space="preserve"> problem </w:t>
      </w:r>
      <w:proofErr w:type="spellStart"/>
      <w:r w:rsidR="00C21F45" w:rsidRPr="009C79F8">
        <w:rPr>
          <w:rFonts w:ascii="Times New Roman" w:hAnsi="Times New Roman"/>
          <w:sz w:val="24"/>
          <w:szCs w:val="24"/>
        </w:rPr>
        <w:t>vezane</w:t>
      </w:r>
      <w:proofErr w:type="spellEnd"/>
      <w:r w:rsidR="00C21F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5" w:rsidRPr="009C79F8">
        <w:rPr>
          <w:rFonts w:ascii="Times New Roman" w:hAnsi="Times New Roman"/>
          <w:sz w:val="24"/>
          <w:szCs w:val="24"/>
        </w:rPr>
        <w:t>za</w:t>
      </w:r>
      <w:proofErr w:type="spellEnd"/>
      <w:r w:rsidR="00C21F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5" w:rsidRPr="009C79F8">
        <w:rPr>
          <w:rFonts w:ascii="Times New Roman" w:hAnsi="Times New Roman"/>
          <w:sz w:val="24"/>
          <w:szCs w:val="24"/>
        </w:rPr>
        <w:t>poslovanje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preduzeća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79F8">
        <w:rPr>
          <w:rFonts w:ascii="Times New Roman" w:hAnsi="Times New Roman"/>
          <w:sz w:val="24"/>
          <w:szCs w:val="24"/>
        </w:rPr>
        <w:t>kao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5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9C79F8">
        <w:rPr>
          <w:rFonts w:ascii="Times New Roman" w:hAnsi="Times New Roman"/>
          <w:sz w:val="24"/>
          <w:szCs w:val="24"/>
        </w:rPr>
        <w:t>napiše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preporuke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za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A4D" w:rsidRPr="009C79F8">
        <w:rPr>
          <w:rFonts w:ascii="Times New Roman" w:hAnsi="Times New Roman"/>
          <w:sz w:val="24"/>
          <w:szCs w:val="24"/>
        </w:rPr>
        <w:t>preduzeće</w:t>
      </w:r>
      <w:proofErr w:type="spellEnd"/>
      <w:r w:rsidR="00C21F45" w:rsidRPr="009C79F8">
        <w:rPr>
          <w:rFonts w:ascii="Times New Roman" w:hAnsi="Times New Roman"/>
          <w:sz w:val="24"/>
          <w:szCs w:val="24"/>
        </w:rPr>
        <w:t>.</w:t>
      </w:r>
    </w:p>
    <w:p w:rsidR="00C21F45" w:rsidRPr="009C79F8" w:rsidRDefault="00C21F45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9F8">
        <w:rPr>
          <w:rFonts w:ascii="Times New Roman" w:hAnsi="Times New Roman"/>
          <w:sz w:val="24"/>
          <w:szCs w:val="24"/>
        </w:rPr>
        <w:t xml:space="preserve">Primer </w:t>
      </w:r>
      <w:proofErr w:type="spellStart"/>
      <w:r w:rsidR="00D7444F" w:rsidRPr="009C79F8">
        <w:rPr>
          <w:rFonts w:ascii="Times New Roman" w:hAnsi="Times New Roman"/>
          <w:sz w:val="24"/>
          <w:szCs w:val="24"/>
        </w:rPr>
        <w:t>zbirne</w:t>
      </w:r>
      <w:proofErr w:type="spellEnd"/>
      <w:r w:rsidR="00D7444F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tabele</w:t>
      </w:r>
      <w:proofErr w:type="spellEnd"/>
      <w:r w:rsidR="00D7444F" w:rsidRPr="009C79F8">
        <w:rPr>
          <w:rFonts w:ascii="Times New Roman" w:hAnsi="Times New Roman"/>
          <w:sz w:val="24"/>
          <w:szCs w:val="24"/>
        </w:rPr>
        <w:t>:</w:t>
      </w:r>
    </w:p>
    <w:p w:rsidR="00D7444F" w:rsidRPr="009C79F8" w:rsidRDefault="00D7444F" w:rsidP="00102602">
      <w:pPr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560"/>
        <w:gridCol w:w="1417"/>
        <w:gridCol w:w="1539"/>
      </w:tblGrid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2009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2010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2011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1. Tekući odnos likvidnosti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1,19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1,25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1,20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2. Brzi test likvidnosti – ACID test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0,057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0,033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0,006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3. Ukupni dug/ukupan kapital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0,58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0,58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0,62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4. Dugoročne obaveze/Ukupni kapital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0,21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0,19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0,18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5. Racio pokrića kamata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8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10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6. Racio pokrića gotovinom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9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11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4,5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7. Koeficijent obrta potraživanja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7-a. Prosečan period naplate potraživanja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20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18 dana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16,5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22 dana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13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27 dana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8. Koeficijent obrta zaliha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8-a. Prosečan period obrta zaliha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8-b. Period pretvaranja zaliha u gotovinu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8,75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42 dana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60 dana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7,7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47 dana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69 dana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5,5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66 dana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93 dana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9. Marža bruto profita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10%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11,6%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10,5%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10. Marža neto profita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7,9%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9,4%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7,1%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11. Koeficijent obrta ukupne imovine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2,8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2,76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2,24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 xml:space="preserve">12. Prinos na imovinu  ROI 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22%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25,9%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15,9%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13. Prinos na sopstveni kapital ROE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52,5%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62,3%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41,5%</w:t>
            </w:r>
          </w:p>
        </w:tc>
      </w:tr>
    </w:tbl>
    <w:p w:rsidR="003E6FD0" w:rsidRPr="009C79F8" w:rsidRDefault="003E6FD0" w:rsidP="0010260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Napomena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Studenti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tabeli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prikazati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koeficijente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444F" w:rsidRPr="009C79F8" w:rsidRDefault="00D7444F" w:rsidP="00102602">
      <w:pPr>
        <w:jc w:val="both"/>
        <w:rPr>
          <w:rFonts w:ascii="Times New Roman" w:hAnsi="Times New Roman"/>
          <w:sz w:val="24"/>
          <w:szCs w:val="24"/>
        </w:rPr>
      </w:pPr>
    </w:p>
    <w:p w:rsidR="00EF0E7C" w:rsidRPr="009C79F8" w:rsidRDefault="00EF0E7C" w:rsidP="00102602">
      <w:pPr>
        <w:jc w:val="both"/>
        <w:rPr>
          <w:rFonts w:ascii="Times New Roman" w:hAnsi="Times New Roman"/>
          <w:sz w:val="24"/>
          <w:szCs w:val="24"/>
        </w:rPr>
      </w:pPr>
      <w:r w:rsidRPr="009C79F8">
        <w:rPr>
          <w:rFonts w:ascii="Times New Roman" w:hAnsi="Times New Roman"/>
          <w:sz w:val="24"/>
          <w:szCs w:val="24"/>
        </w:rPr>
        <w:t xml:space="preserve">Student </w:t>
      </w:r>
      <w:proofErr w:type="spellStart"/>
      <w:r w:rsidRPr="009C79F8">
        <w:rPr>
          <w:rFonts w:ascii="Times New Roman" w:hAnsi="Times New Roman"/>
          <w:sz w:val="24"/>
          <w:szCs w:val="24"/>
        </w:rPr>
        <w:t>pri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izradi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seminarskog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rada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treba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9C79F8">
        <w:rPr>
          <w:rFonts w:ascii="Times New Roman" w:hAnsi="Times New Roman"/>
          <w:sz w:val="24"/>
          <w:szCs w:val="24"/>
        </w:rPr>
        <w:t>koristi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r w:rsidR="00987047" w:rsidRPr="009C79F8">
        <w:rPr>
          <w:rFonts w:ascii="Times New Roman" w:hAnsi="Times New Roman"/>
          <w:sz w:val="24"/>
          <w:szCs w:val="24"/>
        </w:rPr>
        <w:t>i</w:t>
      </w:r>
      <w:r w:rsidR="0048525C" w:rsidRPr="009C79F8">
        <w:rPr>
          <w:rFonts w:ascii="Times New Roman" w:hAnsi="Times New Roman"/>
          <w:sz w:val="24"/>
          <w:szCs w:val="24"/>
        </w:rPr>
        <w:t xml:space="preserve">nternet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sajt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kompanije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7C84" w:rsidRPr="009C79F8">
        <w:rPr>
          <w:rFonts w:ascii="Times New Roman" w:hAnsi="Times New Roman"/>
          <w:sz w:val="24"/>
          <w:szCs w:val="24"/>
        </w:rPr>
        <w:t>sajt</w:t>
      </w:r>
      <w:proofErr w:type="spellEnd"/>
      <w:r w:rsidR="007A7C84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C84" w:rsidRPr="009C79F8">
        <w:rPr>
          <w:rFonts w:ascii="Times New Roman" w:hAnsi="Times New Roman"/>
          <w:sz w:val="24"/>
          <w:szCs w:val="24"/>
        </w:rPr>
        <w:t>Agencije</w:t>
      </w:r>
      <w:proofErr w:type="spellEnd"/>
      <w:r w:rsidR="007A7C84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C84" w:rsidRPr="009C79F8">
        <w:rPr>
          <w:rFonts w:ascii="Times New Roman" w:hAnsi="Times New Roman"/>
          <w:sz w:val="24"/>
          <w:szCs w:val="24"/>
        </w:rPr>
        <w:t>za</w:t>
      </w:r>
      <w:proofErr w:type="spellEnd"/>
      <w:r w:rsidR="007A7C84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C84" w:rsidRPr="009C79F8">
        <w:rPr>
          <w:rFonts w:ascii="Times New Roman" w:hAnsi="Times New Roman"/>
          <w:sz w:val="24"/>
          <w:szCs w:val="24"/>
        </w:rPr>
        <w:t>privredne</w:t>
      </w:r>
      <w:proofErr w:type="spellEnd"/>
      <w:r w:rsidR="007A7C84" w:rsidRPr="009C79F8">
        <w:rPr>
          <w:rFonts w:ascii="Times New Roman" w:hAnsi="Times New Roman"/>
          <w:sz w:val="24"/>
          <w:szCs w:val="24"/>
        </w:rPr>
        <w:t xml:space="preserve"> register,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sajt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Beogradske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berze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ukoliko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preduzeće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ima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akcije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koje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kotiraju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na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berzi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(u tom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slučaju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student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će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naći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finansijske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izveštaje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za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poslednje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tri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godine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okviru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informatora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C79F8">
        <w:rPr>
          <w:rFonts w:ascii="Times New Roman" w:hAnsi="Times New Roman"/>
          <w:sz w:val="24"/>
          <w:szCs w:val="24"/>
        </w:rPr>
        <w:t>knjigu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C79F8">
        <w:rPr>
          <w:rFonts w:ascii="Times New Roman" w:hAnsi="Times New Roman"/>
          <w:sz w:val="24"/>
          <w:szCs w:val="24"/>
        </w:rPr>
        <w:t>Finansijski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menadžment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” prof. </w:t>
      </w:r>
      <w:proofErr w:type="spellStart"/>
      <w:r w:rsidRPr="009C79F8">
        <w:rPr>
          <w:rFonts w:ascii="Times New Roman" w:hAnsi="Times New Roman"/>
          <w:sz w:val="24"/>
          <w:szCs w:val="24"/>
        </w:rPr>
        <w:t>dr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Biserke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Komnenić</w:t>
      </w:r>
      <w:proofErr w:type="spellEnd"/>
      <w:r w:rsidR="00D608FB"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08FB" w:rsidRPr="009C79F8">
        <w:rPr>
          <w:rFonts w:ascii="Times New Roman" w:hAnsi="Times New Roman"/>
          <w:sz w:val="24"/>
          <w:szCs w:val="24"/>
        </w:rPr>
        <w:t>odnosno</w:t>
      </w:r>
      <w:proofErr w:type="spellEnd"/>
      <w:r w:rsidR="00D608F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fajlove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predavanja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vežbi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okačene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pod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predmetom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Poslovne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finansije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. Student </w:t>
      </w:r>
      <w:proofErr w:type="spellStart"/>
      <w:r w:rsidR="0079101D" w:rsidRPr="009C79F8">
        <w:rPr>
          <w:rFonts w:ascii="Times New Roman" w:hAnsi="Times New Roman"/>
          <w:sz w:val="24"/>
          <w:szCs w:val="24"/>
        </w:rPr>
        <w:t>pri</w:t>
      </w:r>
      <w:proofErr w:type="spellEnd"/>
      <w:r w:rsidR="0079101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1D" w:rsidRPr="009C79F8">
        <w:rPr>
          <w:rFonts w:ascii="Times New Roman" w:hAnsi="Times New Roman"/>
          <w:sz w:val="24"/>
          <w:szCs w:val="24"/>
        </w:rPr>
        <w:t>izradi</w:t>
      </w:r>
      <w:proofErr w:type="spellEnd"/>
      <w:r w:rsidR="0079101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1D" w:rsidRPr="009C79F8">
        <w:rPr>
          <w:rFonts w:ascii="Times New Roman" w:hAnsi="Times New Roman"/>
          <w:sz w:val="24"/>
          <w:szCs w:val="24"/>
        </w:rPr>
        <w:t>seminarskog</w:t>
      </w:r>
      <w:proofErr w:type="spellEnd"/>
      <w:r w:rsidR="0079101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1D" w:rsidRPr="009C79F8">
        <w:rPr>
          <w:rFonts w:ascii="Times New Roman" w:hAnsi="Times New Roman"/>
          <w:sz w:val="24"/>
          <w:szCs w:val="24"/>
        </w:rPr>
        <w:t>rada</w:t>
      </w:r>
      <w:proofErr w:type="spellEnd"/>
      <w:r w:rsidR="0079101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može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koristi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bilo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koju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drugu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knjigu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iz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Finansijskog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menadžmenta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>/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Poslovnih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finansija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>.</w:t>
      </w:r>
    </w:p>
    <w:p w:rsidR="00D05E6D" w:rsidRPr="009C79F8" w:rsidRDefault="0048525C" w:rsidP="0010260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Seminarski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rad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mora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da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sadrži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987047" w:rsidRPr="009C79F8"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finansijske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izveštaje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79F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osnovu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kojih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je student </w:t>
      </w:r>
      <w:proofErr w:type="spellStart"/>
      <w:r w:rsidRPr="009C79F8">
        <w:rPr>
          <w:rFonts w:ascii="Times New Roman" w:hAnsi="Times New Roman"/>
          <w:sz w:val="24"/>
          <w:szCs w:val="24"/>
        </w:rPr>
        <w:t>izvršio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izračunavanja</w:t>
      </w:r>
      <w:proofErr w:type="spellEnd"/>
      <w:r w:rsidRPr="009C79F8">
        <w:rPr>
          <w:rFonts w:ascii="Times New Roman" w:hAnsi="Times New Roman"/>
          <w:sz w:val="24"/>
          <w:szCs w:val="24"/>
        </w:rPr>
        <w:t>.</w:t>
      </w:r>
    </w:p>
    <w:sectPr w:rsidR="00D05E6D" w:rsidRPr="009C79F8" w:rsidSect="0072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B6FEE"/>
    <w:multiLevelType w:val="hybridMultilevel"/>
    <w:tmpl w:val="9C68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82"/>
    <w:rsid w:val="00000B57"/>
    <w:rsid w:val="00001025"/>
    <w:rsid w:val="000053CD"/>
    <w:rsid w:val="00006375"/>
    <w:rsid w:val="00006887"/>
    <w:rsid w:val="00006C62"/>
    <w:rsid w:val="00010203"/>
    <w:rsid w:val="000107B4"/>
    <w:rsid w:val="0001135C"/>
    <w:rsid w:val="00012A7C"/>
    <w:rsid w:val="00012AFD"/>
    <w:rsid w:val="00014EFC"/>
    <w:rsid w:val="00020DAE"/>
    <w:rsid w:val="00021A32"/>
    <w:rsid w:val="00021B40"/>
    <w:rsid w:val="00022A5C"/>
    <w:rsid w:val="00023556"/>
    <w:rsid w:val="00024CE5"/>
    <w:rsid w:val="0002547C"/>
    <w:rsid w:val="00027137"/>
    <w:rsid w:val="00027668"/>
    <w:rsid w:val="00027FDA"/>
    <w:rsid w:val="00030A47"/>
    <w:rsid w:val="00031BBC"/>
    <w:rsid w:val="00040149"/>
    <w:rsid w:val="00042474"/>
    <w:rsid w:val="00046254"/>
    <w:rsid w:val="00056DA1"/>
    <w:rsid w:val="00057E11"/>
    <w:rsid w:val="00062714"/>
    <w:rsid w:val="00067C00"/>
    <w:rsid w:val="0007042D"/>
    <w:rsid w:val="0007112F"/>
    <w:rsid w:val="000712FD"/>
    <w:rsid w:val="0007352C"/>
    <w:rsid w:val="00075C2C"/>
    <w:rsid w:val="000813B9"/>
    <w:rsid w:val="00081AD1"/>
    <w:rsid w:val="00081DA4"/>
    <w:rsid w:val="0008242C"/>
    <w:rsid w:val="000835E9"/>
    <w:rsid w:val="000837F2"/>
    <w:rsid w:val="00083E56"/>
    <w:rsid w:val="00084754"/>
    <w:rsid w:val="0009232D"/>
    <w:rsid w:val="000948CB"/>
    <w:rsid w:val="00095F6C"/>
    <w:rsid w:val="0009602A"/>
    <w:rsid w:val="00096333"/>
    <w:rsid w:val="00096EB8"/>
    <w:rsid w:val="000A06E3"/>
    <w:rsid w:val="000A2160"/>
    <w:rsid w:val="000A3439"/>
    <w:rsid w:val="000A412B"/>
    <w:rsid w:val="000A4BFF"/>
    <w:rsid w:val="000A4DDE"/>
    <w:rsid w:val="000B1532"/>
    <w:rsid w:val="000B220A"/>
    <w:rsid w:val="000B4CF7"/>
    <w:rsid w:val="000B640B"/>
    <w:rsid w:val="000B694D"/>
    <w:rsid w:val="000B7E79"/>
    <w:rsid w:val="000C47B9"/>
    <w:rsid w:val="000C5C6A"/>
    <w:rsid w:val="000E47DF"/>
    <w:rsid w:val="000E785A"/>
    <w:rsid w:val="000F2749"/>
    <w:rsid w:val="000F7D33"/>
    <w:rsid w:val="0010091F"/>
    <w:rsid w:val="00100970"/>
    <w:rsid w:val="00101ED8"/>
    <w:rsid w:val="001025C1"/>
    <w:rsid w:val="00102602"/>
    <w:rsid w:val="001062CE"/>
    <w:rsid w:val="001067AA"/>
    <w:rsid w:val="001119C0"/>
    <w:rsid w:val="00114343"/>
    <w:rsid w:val="00114AF9"/>
    <w:rsid w:val="001152BF"/>
    <w:rsid w:val="001176DF"/>
    <w:rsid w:val="00117C30"/>
    <w:rsid w:val="00120FFE"/>
    <w:rsid w:val="001236BB"/>
    <w:rsid w:val="001243AB"/>
    <w:rsid w:val="001261FB"/>
    <w:rsid w:val="001271B8"/>
    <w:rsid w:val="00127C84"/>
    <w:rsid w:val="001300C4"/>
    <w:rsid w:val="00130894"/>
    <w:rsid w:val="00135DD3"/>
    <w:rsid w:val="001371D3"/>
    <w:rsid w:val="00140519"/>
    <w:rsid w:val="00141F19"/>
    <w:rsid w:val="00144257"/>
    <w:rsid w:val="00144D52"/>
    <w:rsid w:val="00147B39"/>
    <w:rsid w:val="00150881"/>
    <w:rsid w:val="001508C3"/>
    <w:rsid w:val="0015184A"/>
    <w:rsid w:val="00151852"/>
    <w:rsid w:val="00152FD2"/>
    <w:rsid w:val="00154CBF"/>
    <w:rsid w:val="00154EFD"/>
    <w:rsid w:val="0016074E"/>
    <w:rsid w:val="00163D23"/>
    <w:rsid w:val="00164D0F"/>
    <w:rsid w:val="00166E68"/>
    <w:rsid w:val="00167371"/>
    <w:rsid w:val="0017143F"/>
    <w:rsid w:val="001714F7"/>
    <w:rsid w:val="00172062"/>
    <w:rsid w:val="00172832"/>
    <w:rsid w:val="00174C60"/>
    <w:rsid w:val="00174D46"/>
    <w:rsid w:val="0017607D"/>
    <w:rsid w:val="001801D4"/>
    <w:rsid w:val="001803D2"/>
    <w:rsid w:val="0018053B"/>
    <w:rsid w:val="00181D11"/>
    <w:rsid w:val="001831CD"/>
    <w:rsid w:val="00187A96"/>
    <w:rsid w:val="001906E3"/>
    <w:rsid w:val="00190A31"/>
    <w:rsid w:val="00191514"/>
    <w:rsid w:val="00191A9B"/>
    <w:rsid w:val="0019255D"/>
    <w:rsid w:val="0019308B"/>
    <w:rsid w:val="001951A4"/>
    <w:rsid w:val="00196014"/>
    <w:rsid w:val="00197553"/>
    <w:rsid w:val="001A0B69"/>
    <w:rsid w:val="001A0B74"/>
    <w:rsid w:val="001A0BEC"/>
    <w:rsid w:val="001A32C3"/>
    <w:rsid w:val="001A48D2"/>
    <w:rsid w:val="001A5AC2"/>
    <w:rsid w:val="001A5D1B"/>
    <w:rsid w:val="001A7D06"/>
    <w:rsid w:val="001B2CD6"/>
    <w:rsid w:val="001B3471"/>
    <w:rsid w:val="001B4B20"/>
    <w:rsid w:val="001B52A7"/>
    <w:rsid w:val="001C0968"/>
    <w:rsid w:val="001C4AD0"/>
    <w:rsid w:val="001C5AE0"/>
    <w:rsid w:val="001C7394"/>
    <w:rsid w:val="001D09ED"/>
    <w:rsid w:val="001D50A0"/>
    <w:rsid w:val="001E2B72"/>
    <w:rsid w:val="001E6926"/>
    <w:rsid w:val="001F08E5"/>
    <w:rsid w:val="001F09C7"/>
    <w:rsid w:val="001F1D05"/>
    <w:rsid w:val="001F39DE"/>
    <w:rsid w:val="001F407B"/>
    <w:rsid w:val="0020049A"/>
    <w:rsid w:val="00206F7B"/>
    <w:rsid w:val="0020784F"/>
    <w:rsid w:val="00211CEE"/>
    <w:rsid w:val="002141F1"/>
    <w:rsid w:val="0021446A"/>
    <w:rsid w:val="002152F2"/>
    <w:rsid w:val="00215C1D"/>
    <w:rsid w:val="002202BC"/>
    <w:rsid w:val="00221968"/>
    <w:rsid w:val="00225B48"/>
    <w:rsid w:val="0022615B"/>
    <w:rsid w:val="0023190B"/>
    <w:rsid w:val="0023351D"/>
    <w:rsid w:val="00234FA1"/>
    <w:rsid w:val="00235E35"/>
    <w:rsid w:val="00237722"/>
    <w:rsid w:val="00243F29"/>
    <w:rsid w:val="00243F74"/>
    <w:rsid w:val="0024414A"/>
    <w:rsid w:val="002452F2"/>
    <w:rsid w:val="00250E30"/>
    <w:rsid w:val="00250E38"/>
    <w:rsid w:val="002536B1"/>
    <w:rsid w:val="00253988"/>
    <w:rsid w:val="002603B8"/>
    <w:rsid w:val="002618F3"/>
    <w:rsid w:val="00265E12"/>
    <w:rsid w:val="00267D8E"/>
    <w:rsid w:val="0027046E"/>
    <w:rsid w:val="00271239"/>
    <w:rsid w:val="00271CDB"/>
    <w:rsid w:val="002742C4"/>
    <w:rsid w:val="00277010"/>
    <w:rsid w:val="00283D1D"/>
    <w:rsid w:val="00285E5C"/>
    <w:rsid w:val="002872A3"/>
    <w:rsid w:val="00291992"/>
    <w:rsid w:val="0029383F"/>
    <w:rsid w:val="002953FA"/>
    <w:rsid w:val="002A00BE"/>
    <w:rsid w:val="002A1B88"/>
    <w:rsid w:val="002A1D8D"/>
    <w:rsid w:val="002A1DD9"/>
    <w:rsid w:val="002A318C"/>
    <w:rsid w:val="002A35C2"/>
    <w:rsid w:val="002A3795"/>
    <w:rsid w:val="002A5223"/>
    <w:rsid w:val="002A6D40"/>
    <w:rsid w:val="002A7358"/>
    <w:rsid w:val="002A7B85"/>
    <w:rsid w:val="002B0951"/>
    <w:rsid w:val="002B1FB9"/>
    <w:rsid w:val="002B3D75"/>
    <w:rsid w:val="002B45E0"/>
    <w:rsid w:val="002B7CA4"/>
    <w:rsid w:val="002C06A7"/>
    <w:rsid w:val="002C07F3"/>
    <w:rsid w:val="002C1A08"/>
    <w:rsid w:val="002C1BFA"/>
    <w:rsid w:val="002C5B6F"/>
    <w:rsid w:val="002C6494"/>
    <w:rsid w:val="002C7593"/>
    <w:rsid w:val="002C75E5"/>
    <w:rsid w:val="002C765B"/>
    <w:rsid w:val="002D0F9A"/>
    <w:rsid w:val="002D6ACA"/>
    <w:rsid w:val="002D7328"/>
    <w:rsid w:val="002E0187"/>
    <w:rsid w:val="002E21DD"/>
    <w:rsid w:val="002E304F"/>
    <w:rsid w:val="002E3CF8"/>
    <w:rsid w:val="002E5068"/>
    <w:rsid w:val="002E6724"/>
    <w:rsid w:val="002E7233"/>
    <w:rsid w:val="002F64A1"/>
    <w:rsid w:val="00300C96"/>
    <w:rsid w:val="003019CF"/>
    <w:rsid w:val="00302E58"/>
    <w:rsid w:val="003032FA"/>
    <w:rsid w:val="003042FF"/>
    <w:rsid w:val="00305EFC"/>
    <w:rsid w:val="00307535"/>
    <w:rsid w:val="00310AEA"/>
    <w:rsid w:val="003110AF"/>
    <w:rsid w:val="00314E67"/>
    <w:rsid w:val="00317B4B"/>
    <w:rsid w:val="00322143"/>
    <w:rsid w:val="00324E55"/>
    <w:rsid w:val="00325CF7"/>
    <w:rsid w:val="00327720"/>
    <w:rsid w:val="00327DFC"/>
    <w:rsid w:val="003316BF"/>
    <w:rsid w:val="00336920"/>
    <w:rsid w:val="00342A67"/>
    <w:rsid w:val="00343B18"/>
    <w:rsid w:val="00344B57"/>
    <w:rsid w:val="00345DF2"/>
    <w:rsid w:val="00347A90"/>
    <w:rsid w:val="0035030F"/>
    <w:rsid w:val="003517C1"/>
    <w:rsid w:val="00352279"/>
    <w:rsid w:val="00352E4C"/>
    <w:rsid w:val="0035600B"/>
    <w:rsid w:val="00356945"/>
    <w:rsid w:val="00360750"/>
    <w:rsid w:val="003612A8"/>
    <w:rsid w:val="00362041"/>
    <w:rsid w:val="00362F48"/>
    <w:rsid w:val="00363244"/>
    <w:rsid w:val="0036756E"/>
    <w:rsid w:val="00371054"/>
    <w:rsid w:val="003712E9"/>
    <w:rsid w:val="003723B4"/>
    <w:rsid w:val="00380BC6"/>
    <w:rsid w:val="003823DE"/>
    <w:rsid w:val="00382958"/>
    <w:rsid w:val="00382F5C"/>
    <w:rsid w:val="0038785A"/>
    <w:rsid w:val="00390945"/>
    <w:rsid w:val="00390D76"/>
    <w:rsid w:val="00390E20"/>
    <w:rsid w:val="00394642"/>
    <w:rsid w:val="003966F6"/>
    <w:rsid w:val="00397257"/>
    <w:rsid w:val="00397433"/>
    <w:rsid w:val="003A2F2C"/>
    <w:rsid w:val="003A5506"/>
    <w:rsid w:val="003A5892"/>
    <w:rsid w:val="003B0AF4"/>
    <w:rsid w:val="003B0BB7"/>
    <w:rsid w:val="003B157A"/>
    <w:rsid w:val="003C0A12"/>
    <w:rsid w:val="003C191E"/>
    <w:rsid w:val="003C331D"/>
    <w:rsid w:val="003C7167"/>
    <w:rsid w:val="003C78CD"/>
    <w:rsid w:val="003D0EAE"/>
    <w:rsid w:val="003D1B62"/>
    <w:rsid w:val="003D2B90"/>
    <w:rsid w:val="003D40C0"/>
    <w:rsid w:val="003D44AD"/>
    <w:rsid w:val="003D4D90"/>
    <w:rsid w:val="003D4DB9"/>
    <w:rsid w:val="003D5A71"/>
    <w:rsid w:val="003E06B7"/>
    <w:rsid w:val="003E0FD2"/>
    <w:rsid w:val="003E2F12"/>
    <w:rsid w:val="003E55F6"/>
    <w:rsid w:val="003E6FD0"/>
    <w:rsid w:val="003E735E"/>
    <w:rsid w:val="003E7C91"/>
    <w:rsid w:val="003F0D45"/>
    <w:rsid w:val="003F11A5"/>
    <w:rsid w:val="003F24A5"/>
    <w:rsid w:val="003F2C38"/>
    <w:rsid w:val="003F4FC1"/>
    <w:rsid w:val="004001E0"/>
    <w:rsid w:val="00404033"/>
    <w:rsid w:val="004117A9"/>
    <w:rsid w:val="00412C06"/>
    <w:rsid w:val="0041302E"/>
    <w:rsid w:val="004145D8"/>
    <w:rsid w:val="004150DB"/>
    <w:rsid w:val="00416E4F"/>
    <w:rsid w:val="00420A5A"/>
    <w:rsid w:val="00423839"/>
    <w:rsid w:val="00423AE1"/>
    <w:rsid w:val="00430D50"/>
    <w:rsid w:val="004340DA"/>
    <w:rsid w:val="00435D24"/>
    <w:rsid w:val="00435E4E"/>
    <w:rsid w:val="0043690C"/>
    <w:rsid w:val="004408B2"/>
    <w:rsid w:val="0044119A"/>
    <w:rsid w:val="00441B62"/>
    <w:rsid w:val="004517FB"/>
    <w:rsid w:val="0045214A"/>
    <w:rsid w:val="00452AD0"/>
    <w:rsid w:val="00453F34"/>
    <w:rsid w:val="004556A5"/>
    <w:rsid w:val="0046326F"/>
    <w:rsid w:val="0046393B"/>
    <w:rsid w:val="00464CB8"/>
    <w:rsid w:val="00466F08"/>
    <w:rsid w:val="004676EB"/>
    <w:rsid w:val="004701C7"/>
    <w:rsid w:val="00470F55"/>
    <w:rsid w:val="00477B4C"/>
    <w:rsid w:val="0048173D"/>
    <w:rsid w:val="00481F4D"/>
    <w:rsid w:val="0048525C"/>
    <w:rsid w:val="0048740E"/>
    <w:rsid w:val="00487EA3"/>
    <w:rsid w:val="0049210C"/>
    <w:rsid w:val="00493C80"/>
    <w:rsid w:val="0049752E"/>
    <w:rsid w:val="00497584"/>
    <w:rsid w:val="004A0100"/>
    <w:rsid w:val="004A31A7"/>
    <w:rsid w:val="004A7C25"/>
    <w:rsid w:val="004B03C4"/>
    <w:rsid w:val="004B28B8"/>
    <w:rsid w:val="004B6BD0"/>
    <w:rsid w:val="004B701E"/>
    <w:rsid w:val="004B72EC"/>
    <w:rsid w:val="004B7F73"/>
    <w:rsid w:val="004C07DD"/>
    <w:rsid w:val="004C3C73"/>
    <w:rsid w:val="004C5F11"/>
    <w:rsid w:val="004C5FBA"/>
    <w:rsid w:val="004C64D0"/>
    <w:rsid w:val="004C6DAF"/>
    <w:rsid w:val="004C72EE"/>
    <w:rsid w:val="004D2B4C"/>
    <w:rsid w:val="004D49B6"/>
    <w:rsid w:val="004D5555"/>
    <w:rsid w:val="004D578B"/>
    <w:rsid w:val="004D5C04"/>
    <w:rsid w:val="004D6BE9"/>
    <w:rsid w:val="004D6F13"/>
    <w:rsid w:val="004D7469"/>
    <w:rsid w:val="004D78CD"/>
    <w:rsid w:val="004E00D9"/>
    <w:rsid w:val="004E263C"/>
    <w:rsid w:val="004E6D8E"/>
    <w:rsid w:val="004E7B4C"/>
    <w:rsid w:val="004E7FEF"/>
    <w:rsid w:val="004F0857"/>
    <w:rsid w:val="004F208C"/>
    <w:rsid w:val="00500AF5"/>
    <w:rsid w:val="00501201"/>
    <w:rsid w:val="005021F4"/>
    <w:rsid w:val="00503963"/>
    <w:rsid w:val="00504F8F"/>
    <w:rsid w:val="005057F8"/>
    <w:rsid w:val="00506C6F"/>
    <w:rsid w:val="00510746"/>
    <w:rsid w:val="0051085B"/>
    <w:rsid w:val="00510CB5"/>
    <w:rsid w:val="00510DFA"/>
    <w:rsid w:val="005151B9"/>
    <w:rsid w:val="00516101"/>
    <w:rsid w:val="005203E9"/>
    <w:rsid w:val="005206E4"/>
    <w:rsid w:val="0052086A"/>
    <w:rsid w:val="0052108E"/>
    <w:rsid w:val="00521C00"/>
    <w:rsid w:val="00523661"/>
    <w:rsid w:val="00524EA4"/>
    <w:rsid w:val="005256D0"/>
    <w:rsid w:val="005306BE"/>
    <w:rsid w:val="00534722"/>
    <w:rsid w:val="0053687B"/>
    <w:rsid w:val="00536B6C"/>
    <w:rsid w:val="00536E38"/>
    <w:rsid w:val="005379FD"/>
    <w:rsid w:val="00542B9A"/>
    <w:rsid w:val="00542BC1"/>
    <w:rsid w:val="00542E4E"/>
    <w:rsid w:val="005430FA"/>
    <w:rsid w:val="00546685"/>
    <w:rsid w:val="005470B2"/>
    <w:rsid w:val="00551731"/>
    <w:rsid w:val="00551F0B"/>
    <w:rsid w:val="005523A7"/>
    <w:rsid w:val="005530A8"/>
    <w:rsid w:val="005605A8"/>
    <w:rsid w:val="005628E6"/>
    <w:rsid w:val="00563A42"/>
    <w:rsid w:val="00563D5C"/>
    <w:rsid w:val="005741F3"/>
    <w:rsid w:val="005743B7"/>
    <w:rsid w:val="00574845"/>
    <w:rsid w:val="00574897"/>
    <w:rsid w:val="00577AAC"/>
    <w:rsid w:val="00580785"/>
    <w:rsid w:val="0058198E"/>
    <w:rsid w:val="00583CC6"/>
    <w:rsid w:val="00586BAB"/>
    <w:rsid w:val="00593B4A"/>
    <w:rsid w:val="00595273"/>
    <w:rsid w:val="005A1A0F"/>
    <w:rsid w:val="005A2279"/>
    <w:rsid w:val="005A2FA8"/>
    <w:rsid w:val="005A6B5A"/>
    <w:rsid w:val="005B0511"/>
    <w:rsid w:val="005B0ADF"/>
    <w:rsid w:val="005B2417"/>
    <w:rsid w:val="005B2C35"/>
    <w:rsid w:val="005B35E1"/>
    <w:rsid w:val="005B3CFE"/>
    <w:rsid w:val="005B5590"/>
    <w:rsid w:val="005B6351"/>
    <w:rsid w:val="005C0A44"/>
    <w:rsid w:val="005C17A0"/>
    <w:rsid w:val="005C1CC5"/>
    <w:rsid w:val="005C24E2"/>
    <w:rsid w:val="005C3178"/>
    <w:rsid w:val="005C3D1E"/>
    <w:rsid w:val="005D44F8"/>
    <w:rsid w:val="005D4CC4"/>
    <w:rsid w:val="005E0754"/>
    <w:rsid w:val="005E0A9D"/>
    <w:rsid w:val="005E1CCA"/>
    <w:rsid w:val="005E1D07"/>
    <w:rsid w:val="005E2E25"/>
    <w:rsid w:val="005E337B"/>
    <w:rsid w:val="005E4344"/>
    <w:rsid w:val="005E6895"/>
    <w:rsid w:val="005F01FE"/>
    <w:rsid w:val="005F1D08"/>
    <w:rsid w:val="005F4635"/>
    <w:rsid w:val="005F51CE"/>
    <w:rsid w:val="005F6D30"/>
    <w:rsid w:val="00600803"/>
    <w:rsid w:val="00602846"/>
    <w:rsid w:val="006055CA"/>
    <w:rsid w:val="00605815"/>
    <w:rsid w:val="0061498E"/>
    <w:rsid w:val="00620840"/>
    <w:rsid w:val="00621D86"/>
    <w:rsid w:val="00625645"/>
    <w:rsid w:val="00625BD1"/>
    <w:rsid w:val="00630CFA"/>
    <w:rsid w:val="00631059"/>
    <w:rsid w:val="00631816"/>
    <w:rsid w:val="0063196A"/>
    <w:rsid w:val="006343DB"/>
    <w:rsid w:val="006405E0"/>
    <w:rsid w:val="00641E29"/>
    <w:rsid w:val="00643355"/>
    <w:rsid w:val="006440A2"/>
    <w:rsid w:val="00644143"/>
    <w:rsid w:val="00644EE4"/>
    <w:rsid w:val="0065121C"/>
    <w:rsid w:val="00651836"/>
    <w:rsid w:val="006549DD"/>
    <w:rsid w:val="00654DAB"/>
    <w:rsid w:val="006569E1"/>
    <w:rsid w:val="0066174E"/>
    <w:rsid w:val="00661754"/>
    <w:rsid w:val="00661C71"/>
    <w:rsid w:val="00663CD4"/>
    <w:rsid w:val="0066556B"/>
    <w:rsid w:val="006661F8"/>
    <w:rsid w:val="00670F37"/>
    <w:rsid w:val="00672E79"/>
    <w:rsid w:val="00674A64"/>
    <w:rsid w:val="0067524D"/>
    <w:rsid w:val="006759EA"/>
    <w:rsid w:val="006776DA"/>
    <w:rsid w:val="00677D08"/>
    <w:rsid w:val="00680D5E"/>
    <w:rsid w:val="006810AA"/>
    <w:rsid w:val="006816E2"/>
    <w:rsid w:val="00682853"/>
    <w:rsid w:val="00683D18"/>
    <w:rsid w:val="00686260"/>
    <w:rsid w:val="0068637B"/>
    <w:rsid w:val="006874FD"/>
    <w:rsid w:val="006904EF"/>
    <w:rsid w:val="00691147"/>
    <w:rsid w:val="006935FB"/>
    <w:rsid w:val="00697944"/>
    <w:rsid w:val="006A2045"/>
    <w:rsid w:val="006A2A5B"/>
    <w:rsid w:val="006A5653"/>
    <w:rsid w:val="006A6266"/>
    <w:rsid w:val="006B3DB6"/>
    <w:rsid w:val="006B62F3"/>
    <w:rsid w:val="006C00D4"/>
    <w:rsid w:val="006C1B36"/>
    <w:rsid w:val="006C46DE"/>
    <w:rsid w:val="006C509C"/>
    <w:rsid w:val="006C5BF7"/>
    <w:rsid w:val="006C5E15"/>
    <w:rsid w:val="006C69B0"/>
    <w:rsid w:val="006D11E4"/>
    <w:rsid w:val="006D17DC"/>
    <w:rsid w:val="006D4BE6"/>
    <w:rsid w:val="006D748B"/>
    <w:rsid w:val="006E1A29"/>
    <w:rsid w:val="006E22AE"/>
    <w:rsid w:val="006E35B0"/>
    <w:rsid w:val="006E4B3C"/>
    <w:rsid w:val="006E7E14"/>
    <w:rsid w:val="006F028D"/>
    <w:rsid w:val="006F15E1"/>
    <w:rsid w:val="006F1920"/>
    <w:rsid w:val="006F49B8"/>
    <w:rsid w:val="006F5616"/>
    <w:rsid w:val="006F5C0B"/>
    <w:rsid w:val="0070767A"/>
    <w:rsid w:val="00707F07"/>
    <w:rsid w:val="00710F4F"/>
    <w:rsid w:val="0071445E"/>
    <w:rsid w:val="0071694B"/>
    <w:rsid w:val="007176E8"/>
    <w:rsid w:val="00722BE6"/>
    <w:rsid w:val="00723460"/>
    <w:rsid w:val="007236A4"/>
    <w:rsid w:val="007241E9"/>
    <w:rsid w:val="00726CD6"/>
    <w:rsid w:val="00732A61"/>
    <w:rsid w:val="00732C8F"/>
    <w:rsid w:val="0073311D"/>
    <w:rsid w:val="00740BF7"/>
    <w:rsid w:val="00741530"/>
    <w:rsid w:val="007417B6"/>
    <w:rsid w:val="00742FEC"/>
    <w:rsid w:val="00746630"/>
    <w:rsid w:val="00746E5B"/>
    <w:rsid w:val="00747ECB"/>
    <w:rsid w:val="00750ED9"/>
    <w:rsid w:val="00750F06"/>
    <w:rsid w:val="00753058"/>
    <w:rsid w:val="007542F3"/>
    <w:rsid w:val="007567D8"/>
    <w:rsid w:val="00760019"/>
    <w:rsid w:val="007613E6"/>
    <w:rsid w:val="00764F2A"/>
    <w:rsid w:val="00765407"/>
    <w:rsid w:val="0077035A"/>
    <w:rsid w:val="00770FBF"/>
    <w:rsid w:val="00774C33"/>
    <w:rsid w:val="00777B8F"/>
    <w:rsid w:val="00777C56"/>
    <w:rsid w:val="00783129"/>
    <w:rsid w:val="00784181"/>
    <w:rsid w:val="00784ECD"/>
    <w:rsid w:val="00786420"/>
    <w:rsid w:val="0079101D"/>
    <w:rsid w:val="00792DE2"/>
    <w:rsid w:val="007A10EC"/>
    <w:rsid w:val="007A42EF"/>
    <w:rsid w:val="007A5884"/>
    <w:rsid w:val="007A697B"/>
    <w:rsid w:val="007A7707"/>
    <w:rsid w:val="007A7C84"/>
    <w:rsid w:val="007B0033"/>
    <w:rsid w:val="007B04AE"/>
    <w:rsid w:val="007B1F01"/>
    <w:rsid w:val="007B65BF"/>
    <w:rsid w:val="007B67E3"/>
    <w:rsid w:val="007B6FB7"/>
    <w:rsid w:val="007C0690"/>
    <w:rsid w:val="007C5376"/>
    <w:rsid w:val="007D1DF1"/>
    <w:rsid w:val="007D1FDC"/>
    <w:rsid w:val="007D2A4D"/>
    <w:rsid w:val="007D5B0A"/>
    <w:rsid w:val="007D5C7D"/>
    <w:rsid w:val="007D6573"/>
    <w:rsid w:val="007D77F6"/>
    <w:rsid w:val="007D7B4B"/>
    <w:rsid w:val="007E3D49"/>
    <w:rsid w:val="007E3F1D"/>
    <w:rsid w:val="007E4B17"/>
    <w:rsid w:val="007E6328"/>
    <w:rsid w:val="007E6F31"/>
    <w:rsid w:val="007F04A0"/>
    <w:rsid w:val="007F0D92"/>
    <w:rsid w:val="007F4138"/>
    <w:rsid w:val="007F6EDB"/>
    <w:rsid w:val="008007BA"/>
    <w:rsid w:val="0080154D"/>
    <w:rsid w:val="008033F3"/>
    <w:rsid w:val="00807EB0"/>
    <w:rsid w:val="00811398"/>
    <w:rsid w:val="008118FF"/>
    <w:rsid w:val="00813335"/>
    <w:rsid w:val="008205CA"/>
    <w:rsid w:val="00820D6B"/>
    <w:rsid w:val="0082616E"/>
    <w:rsid w:val="00826EC1"/>
    <w:rsid w:val="0082717A"/>
    <w:rsid w:val="008330F3"/>
    <w:rsid w:val="00834006"/>
    <w:rsid w:val="008342F4"/>
    <w:rsid w:val="008349E5"/>
    <w:rsid w:val="00836D1B"/>
    <w:rsid w:val="008406C2"/>
    <w:rsid w:val="00842408"/>
    <w:rsid w:val="00843691"/>
    <w:rsid w:val="00845456"/>
    <w:rsid w:val="00845457"/>
    <w:rsid w:val="00847204"/>
    <w:rsid w:val="00847E27"/>
    <w:rsid w:val="00852231"/>
    <w:rsid w:val="00854670"/>
    <w:rsid w:val="00860DA1"/>
    <w:rsid w:val="0086146E"/>
    <w:rsid w:val="00861F3D"/>
    <w:rsid w:val="00862B38"/>
    <w:rsid w:val="00863185"/>
    <w:rsid w:val="008641A4"/>
    <w:rsid w:val="00866008"/>
    <w:rsid w:val="00870D5A"/>
    <w:rsid w:val="00874A23"/>
    <w:rsid w:val="00875A4D"/>
    <w:rsid w:val="00894AF5"/>
    <w:rsid w:val="00894DB2"/>
    <w:rsid w:val="00896155"/>
    <w:rsid w:val="008964EE"/>
    <w:rsid w:val="00896849"/>
    <w:rsid w:val="00896B85"/>
    <w:rsid w:val="008973E0"/>
    <w:rsid w:val="008A1508"/>
    <w:rsid w:val="008A28EF"/>
    <w:rsid w:val="008A33BF"/>
    <w:rsid w:val="008A7645"/>
    <w:rsid w:val="008B03B2"/>
    <w:rsid w:val="008B3501"/>
    <w:rsid w:val="008B3967"/>
    <w:rsid w:val="008B3DD8"/>
    <w:rsid w:val="008B6F42"/>
    <w:rsid w:val="008C0171"/>
    <w:rsid w:val="008C2709"/>
    <w:rsid w:val="008C31D0"/>
    <w:rsid w:val="008C3A8D"/>
    <w:rsid w:val="008C61D9"/>
    <w:rsid w:val="008C7048"/>
    <w:rsid w:val="008C7232"/>
    <w:rsid w:val="008D0B5B"/>
    <w:rsid w:val="008D24AF"/>
    <w:rsid w:val="008D5084"/>
    <w:rsid w:val="008D5CEB"/>
    <w:rsid w:val="008E01E1"/>
    <w:rsid w:val="008E1F43"/>
    <w:rsid w:val="008E2556"/>
    <w:rsid w:val="008E3017"/>
    <w:rsid w:val="008E30EE"/>
    <w:rsid w:val="008F081B"/>
    <w:rsid w:val="008F0B44"/>
    <w:rsid w:val="008F31DF"/>
    <w:rsid w:val="008F55D5"/>
    <w:rsid w:val="00900142"/>
    <w:rsid w:val="00902083"/>
    <w:rsid w:val="0090473F"/>
    <w:rsid w:val="0090478F"/>
    <w:rsid w:val="00907E89"/>
    <w:rsid w:val="00912CB4"/>
    <w:rsid w:val="009130D0"/>
    <w:rsid w:val="00914A45"/>
    <w:rsid w:val="009216A7"/>
    <w:rsid w:val="009258F3"/>
    <w:rsid w:val="00927292"/>
    <w:rsid w:val="009304AB"/>
    <w:rsid w:val="00931287"/>
    <w:rsid w:val="00931AC7"/>
    <w:rsid w:val="00936267"/>
    <w:rsid w:val="00940D0B"/>
    <w:rsid w:val="0094180D"/>
    <w:rsid w:val="00942850"/>
    <w:rsid w:val="009479BC"/>
    <w:rsid w:val="0095036A"/>
    <w:rsid w:val="009550B6"/>
    <w:rsid w:val="00955BB3"/>
    <w:rsid w:val="0096360A"/>
    <w:rsid w:val="00964642"/>
    <w:rsid w:val="00967FCC"/>
    <w:rsid w:val="00970B07"/>
    <w:rsid w:val="0097639F"/>
    <w:rsid w:val="00980950"/>
    <w:rsid w:val="00980A37"/>
    <w:rsid w:val="00983710"/>
    <w:rsid w:val="0098387A"/>
    <w:rsid w:val="00983FA7"/>
    <w:rsid w:val="00985467"/>
    <w:rsid w:val="00987047"/>
    <w:rsid w:val="00990D1C"/>
    <w:rsid w:val="009921C0"/>
    <w:rsid w:val="009926C6"/>
    <w:rsid w:val="00992DCB"/>
    <w:rsid w:val="00993A54"/>
    <w:rsid w:val="00995DDA"/>
    <w:rsid w:val="009961F5"/>
    <w:rsid w:val="009A0BD8"/>
    <w:rsid w:val="009A1238"/>
    <w:rsid w:val="009A3F61"/>
    <w:rsid w:val="009A56C6"/>
    <w:rsid w:val="009B01C1"/>
    <w:rsid w:val="009B0B1A"/>
    <w:rsid w:val="009B1696"/>
    <w:rsid w:val="009B18F6"/>
    <w:rsid w:val="009B7135"/>
    <w:rsid w:val="009B7B11"/>
    <w:rsid w:val="009C266A"/>
    <w:rsid w:val="009C6A9E"/>
    <w:rsid w:val="009C79F8"/>
    <w:rsid w:val="009D0AA3"/>
    <w:rsid w:val="009D16A0"/>
    <w:rsid w:val="009D1796"/>
    <w:rsid w:val="009D2188"/>
    <w:rsid w:val="009D38CF"/>
    <w:rsid w:val="009D3C7F"/>
    <w:rsid w:val="009D3DA0"/>
    <w:rsid w:val="009D4B3B"/>
    <w:rsid w:val="009D7344"/>
    <w:rsid w:val="009E0F16"/>
    <w:rsid w:val="009E1C75"/>
    <w:rsid w:val="009E1CB6"/>
    <w:rsid w:val="009E2C00"/>
    <w:rsid w:val="009E5BB8"/>
    <w:rsid w:val="009E6325"/>
    <w:rsid w:val="009E7F27"/>
    <w:rsid w:val="009F0362"/>
    <w:rsid w:val="009F298A"/>
    <w:rsid w:val="009F299D"/>
    <w:rsid w:val="009F347F"/>
    <w:rsid w:val="009F4E11"/>
    <w:rsid w:val="009F6D42"/>
    <w:rsid w:val="009F76A4"/>
    <w:rsid w:val="00A026F4"/>
    <w:rsid w:val="00A04F41"/>
    <w:rsid w:val="00A10C5D"/>
    <w:rsid w:val="00A11C15"/>
    <w:rsid w:val="00A122C2"/>
    <w:rsid w:val="00A164F6"/>
    <w:rsid w:val="00A167E3"/>
    <w:rsid w:val="00A17093"/>
    <w:rsid w:val="00A17417"/>
    <w:rsid w:val="00A17658"/>
    <w:rsid w:val="00A21B37"/>
    <w:rsid w:val="00A21C19"/>
    <w:rsid w:val="00A244A4"/>
    <w:rsid w:val="00A30244"/>
    <w:rsid w:val="00A3064D"/>
    <w:rsid w:val="00A30885"/>
    <w:rsid w:val="00A3121A"/>
    <w:rsid w:val="00A32EF3"/>
    <w:rsid w:val="00A36F51"/>
    <w:rsid w:val="00A3763F"/>
    <w:rsid w:val="00A429F6"/>
    <w:rsid w:val="00A43661"/>
    <w:rsid w:val="00A4620E"/>
    <w:rsid w:val="00A46D3F"/>
    <w:rsid w:val="00A547AA"/>
    <w:rsid w:val="00A549C9"/>
    <w:rsid w:val="00A5642A"/>
    <w:rsid w:val="00A56775"/>
    <w:rsid w:val="00A5682F"/>
    <w:rsid w:val="00A56AFF"/>
    <w:rsid w:val="00A57821"/>
    <w:rsid w:val="00A64519"/>
    <w:rsid w:val="00A648C8"/>
    <w:rsid w:val="00A65519"/>
    <w:rsid w:val="00A65DE6"/>
    <w:rsid w:val="00A75179"/>
    <w:rsid w:val="00A773BC"/>
    <w:rsid w:val="00A812F8"/>
    <w:rsid w:val="00A8147E"/>
    <w:rsid w:val="00A824CE"/>
    <w:rsid w:val="00A82CDB"/>
    <w:rsid w:val="00A875FC"/>
    <w:rsid w:val="00A911D1"/>
    <w:rsid w:val="00A92E8A"/>
    <w:rsid w:val="00A93206"/>
    <w:rsid w:val="00A96D53"/>
    <w:rsid w:val="00AA1E91"/>
    <w:rsid w:val="00AA240C"/>
    <w:rsid w:val="00AA3303"/>
    <w:rsid w:val="00AA34F5"/>
    <w:rsid w:val="00AA41A7"/>
    <w:rsid w:val="00AA54CD"/>
    <w:rsid w:val="00AA7774"/>
    <w:rsid w:val="00AB104C"/>
    <w:rsid w:val="00AB1DDC"/>
    <w:rsid w:val="00AB3DBC"/>
    <w:rsid w:val="00AB3F31"/>
    <w:rsid w:val="00AB4037"/>
    <w:rsid w:val="00AB4355"/>
    <w:rsid w:val="00AB43D7"/>
    <w:rsid w:val="00AB65BF"/>
    <w:rsid w:val="00AB6B3F"/>
    <w:rsid w:val="00AC051D"/>
    <w:rsid w:val="00AC06DE"/>
    <w:rsid w:val="00AC0B7B"/>
    <w:rsid w:val="00AC22CB"/>
    <w:rsid w:val="00AC3B9A"/>
    <w:rsid w:val="00AC4A5B"/>
    <w:rsid w:val="00AC4E70"/>
    <w:rsid w:val="00AC5605"/>
    <w:rsid w:val="00AC5F26"/>
    <w:rsid w:val="00AC7BFB"/>
    <w:rsid w:val="00AD02CC"/>
    <w:rsid w:val="00AD0B91"/>
    <w:rsid w:val="00AD0FB6"/>
    <w:rsid w:val="00AD184A"/>
    <w:rsid w:val="00AD2BE9"/>
    <w:rsid w:val="00AD6DD5"/>
    <w:rsid w:val="00AD7561"/>
    <w:rsid w:val="00AE0C4F"/>
    <w:rsid w:val="00AE2D38"/>
    <w:rsid w:val="00AE341E"/>
    <w:rsid w:val="00AE4A1E"/>
    <w:rsid w:val="00AE60D4"/>
    <w:rsid w:val="00AF01AF"/>
    <w:rsid w:val="00AF03C2"/>
    <w:rsid w:val="00AF087F"/>
    <w:rsid w:val="00AF0A1B"/>
    <w:rsid w:val="00AF1EC7"/>
    <w:rsid w:val="00AF4CC1"/>
    <w:rsid w:val="00AF532B"/>
    <w:rsid w:val="00AF5F78"/>
    <w:rsid w:val="00AF7578"/>
    <w:rsid w:val="00AF7D1B"/>
    <w:rsid w:val="00B00232"/>
    <w:rsid w:val="00B01F71"/>
    <w:rsid w:val="00B02F5B"/>
    <w:rsid w:val="00B04A5E"/>
    <w:rsid w:val="00B05EC6"/>
    <w:rsid w:val="00B0716C"/>
    <w:rsid w:val="00B107DD"/>
    <w:rsid w:val="00B118C0"/>
    <w:rsid w:val="00B17315"/>
    <w:rsid w:val="00B24571"/>
    <w:rsid w:val="00B24F20"/>
    <w:rsid w:val="00B258DA"/>
    <w:rsid w:val="00B30659"/>
    <w:rsid w:val="00B339D1"/>
    <w:rsid w:val="00B40007"/>
    <w:rsid w:val="00B42E0B"/>
    <w:rsid w:val="00B43111"/>
    <w:rsid w:val="00B436AC"/>
    <w:rsid w:val="00B44096"/>
    <w:rsid w:val="00B45799"/>
    <w:rsid w:val="00B475F7"/>
    <w:rsid w:val="00B50440"/>
    <w:rsid w:val="00B50E27"/>
    <w:rsid w:val="00B53336"/>
    <w:rsid w:val="00B53EAE"/>
    <w:rsid w:val="00B567D7"/>
    <w:rsid w:val="00B61FB1"/>
    <w:rsid w:val="00B622B6"/>
    <w:rsid w:val="00B64F2D"/>
    <w:rsid w:val="00B6568A"/>
    <w:rsid w:val="00B65FD7"/>
    <w:rsid w:val="00B6636D"/>
    <w:rsid w:val="00B72D50"/>
    <w:rsid w:val="00B740D6"/>
    <w:rsid w:val="00B74760"/>
    <w:rsid w:val="00B75716"/>
    <w:rsid w:val="00B77BFA"/>
    <w:rsid w:val="00B82EC1"/>
    <w:rsid w:val="00B834E9"/>
    <w:rsid w:val="00B834FC"/>
    <w:rsid w:val="00B84BAB"/>
    <w:rsid w:val="00B851C8"/>
    <w:rsid w:val="00B8764E"/>
    <w:rsid w:val="00B92086"/>
    <w:rsid w:val="00B93474"/>
    <w:rsid w:val="00B93D4C"/>
    <w:rsid w:val="00B94ACF"/>
    <w:rsid w:val="00B94EE6"/>
    <w:rsid w:val="00B954EE"/>
    <w:rsid w:val="00B9631F"/>
    <w:rsid w:val="00BA4893"/>
    <w:rsid w:val="00BA6C68"/>
    <w:rsid w:val="00BB0406"/>
    <w:rsid w:val="00BB09B8"/>
    <w:rsid w:val="00BB4AC5"/>
    <w:rsid w:val="00BB56C2"/>
    <w:rsid w:val="00BB6A93"/>
    <w:rsid w:val="00BB6E05"/>
    <w:rsid w:val="00BB7890"/>
    <w:rsid w:val="00BB7CF5"/>
    <w:rsid w:val="00BC11D5"/>
    <w:rsid w:val="00BC1B80"/>
    <w:rsid w:val="00BC3613"/>
    <w:rsid w:val="00BC3C9C"/>
    <w:rsid w:val="00BC43FD"/>
    <w:rsid w:val="00BC448B"/>
    <w:rsid w:val="00BC5102"/>
    <w:rsid w:val="00BD0F7A"/>
    <w:rsid w:val="00BD10DD"/>
    <w:rsid w:val="00BD1A29"/>
    <w:rsid w:val="00BD5B80"/>
    <w:rsid w:val="00BD6A72"/>
    <w:rsid w:val="00BE1988"/>
    <w:rsid w:val="00BE1AD8"/>
    <w:rsid w:val="00BE1E99"/>
    <w:rsid w:val="00BE2540"/>
    <w:rsid w:val="00BE3536"/>
    <w:rsid w:val="00BE4373"/>
    <w:rsid w:val="00BE55CD"/>
    <w:rsid w:val="00BF110F"/>
    <w:rsid w:val="00BF13F9"/>
    <w:rsid w:val="00BF221F"/>
    <w:rsid w:val="00BF2A56"/>
    <w:rsid w:val="00BF558B"/>
    <w:rsid w:val="00BF61CD"/>
    <w:rsid w:val="00C0000B"/>
    <w:rsid w:val="00C030B2"/>
    <w:rsid w:val="00C04662"/>
    <w:rsid w:val="00C04E4B"/>
    <w:rsid w:val="00C05147"/>
    <w:rsid w:val="00C05CCC"/>
    <w:rsid w:val="00C068BF"/>
    <w:rsid w:val="00C12B1B"/>
    <w:rsid w:val="00C12F19"/>
    <w:rsid w:val="00C15FB0"/>
    <w:rsid w:val="00C1681F"/>
    <w:rsid w:val="00C21523"/>
    <w:rsid w:val="00C21F45"/>
    <w:rsid w:val="00C267A4"/>
    <w:rsid w:val="00C34374"/>
    <w:rsid w:val="00C34AA7"/>
    <w:rsid w:val="00C36479"/>
    <w:rsid w:val="00C378D5"/>
    <w:rsid w:val="00C37F37"/>
    <w:rsid w:val="00C423B8"/>
    <w:rsid w:val="00C42C2D"/>
    <w:rsid w:val="00C45023"/>
    <w:rsid w:val="00C516C9"/>
    <w:rsid w:val="00C51935"/>
    <w:rsid w:val="00C5349F"/>
    <w:rsid w:val="00C53738"/>
    <w:rsid w:val="00C54FEA"/>
    <w:rsid w:val="00C55168"/>
    <w:rsid w:val="00C60E7E"/>
    <w:rsid w:val="00C63117"/>
    <w:rsid w:val="00C66976"/>
    <w:rsid w:val="00C70719"/>
    <w:rsid w:val="00C735A2"/>
    <w:rsid w:val="00C7410C"/>
    <w:rsid w:val="00C763D1"/>
    <w:rsid w:val="00C8168A"/>
    <w:rsid w:val="00C81CB3"/>
    <w:rsid w:val="00C82D77"/>
    <w:rsid w:val="00C862C8"/>
    <w:rsid w:val="00C915E5"/>
    <w:rsid w:val="00C93C1E"/>
    <w:rsid w:val="00C95A25"/>
    <w:rsid w:val="00CA1A9E"/>
    <w:rsid w:val="00CA531D"/>
    <w:rsid w:val="00CA5902"/>
    <w:rsid w:val="00CA6CF2"/>
    <w:rsid w:val="00CB0EE9"/>
    <w:rsid w:val="00CB2A35"/>
    <w:rsid w:val="00CB4588"/>
    <w:rsid w:val="00CB4970"/>
    <w:rsid w:val="00CB5270"/>
    <w:rsid w:val="00CB7A4B"/>
    <w:rsid w:val="00CC411E"/>
    <w:rsid w:val="00CC5102"/>
    <w:rsid w:val="00CC516F"/>
    <w:rsid w:val="00CC6D26"/>
    <w:rsid w:val="00CC7EDF"/>
    <w:rsid w:val="00CD018E"/>
    <w:rsid w:val="00CD116F"/>
    <w:rsid w:val="00CD1528"/>
    <w:rsid w:val="00CD2D60"/>
    <w:rsid w:val="00CD4F52"/>
    <w:rsid w:val="00CD5FEC"/>
    <w:rsid w:val="00CD6CA4"/>
    <w:rsid w:val="00CD71F9"/>
    <w:rsid w:val="00CD765B"/>
    <w:rsid w:val="00CE09A1"/>
    <w:rsid w:val="00CE1280"/>
    <w:rsid w:val="00CE23BB"/>
    <w:rsid w:val="00CE3822"/>
    <w:rsid w:val="00CE3AEF"/>
    <w:rsid w:val="00CE57BB"/>
    <w:rsid w:val="00CE5D8C"/>
    <w:rsid w:val="00CF1E89"/>
    <w:rsid w:val="00CF20E8"/>
    <w:rsid w:val="00CF2280"/>
    <w:rsid w:val="00CF3A48"/>
    <w:rsid w:val="00CF64C9"/>
    <w:rsid w:val="00CF660B"/>
    <w:rsid w:val="00CF6A80"/>
    <w:rsid w:val="00D05B78"/>
    <w:rsid w:val="00D05E6D"/>
    <w:rsid w:val="00D07203"/>
    <w:rsid w:val="00D07EAB"/>
    <w:rsid w:val="00D108B8"/>
    <w:rsid w:val="00D1286C"/>
    <w:rsid w:val="00D12A5D"/>
    <w:rsid w:val="00D12BDA"/>
    <w:rsid w:val="00D1464C"/>
    <w:rsid w:val="00D16749"/>
    <w:rsid w:val="00D178D2"/>
    <w:rsid w:val="00D17F5D"/>
    <w:rsid w:val="00D20B10"/>
    <w:rsid w:val="00D21886"/>
    <w:rsid w:val="00D264C3"/>
    <w:rsid w:val="00D278FC"/>
    <w:rsid w:val="00D279B8"/>
    <w:rsid w:val="00D319B2"/>
    <w:rsid w:val="00D32EC6"/>
    <w:rsid w:val="00D33F78"/>
    <w:rsid w:val="00D35C05"/>
    <w:rsid w:val="00D4055C"/>
    <w:rsid w:val="00D419DB"/>
    <w:rsid w:val="00D43A58"/>
    <w:rsid w:val="00D50C07"/>
    <w:rsid w:val="00D50EE2"/>
    <w:rsid w:val="00D522F3"/>
    <w:rsid w:val="00D526BC"/>
    <w:rsid w:val="00D53FCA"/>
    <w:rsid w:val="00D552DB"/>
    <w:rsid w:val="00D558C4"/>
    <w:rsid w:val="00D55C97"/>
    <w:rsid w:val="00D608FB"/>
    <w:rsid w:val="00D6299D"/>
    <w:rsid w:val="00D62D1F"/>
    <w:rsid w:val="00D63DDF"/>
    <w:rsid w:val="00D67BF3"/>
    <w:rsid w:val="00D72565"/>
    <w:rsid w:val="00D736ED"/>
    <w:rsid w:val="00D73D8A"/>
    <w:rsid w:val="00D7444F"/>
    <w:rsid w:val="00D75A1F"/>
    <w:rsid w:val="00D75A8B"/>
    <w:rsid w:val="00D779CD"/>
    <w:rsid w:val="00D81A98"/>
    <w:rsid w:val="00D82565"/>
    <w:rsid w:val="00D82E38"/>
    <w:rsid w:val="00D900AC"/>
    <w:rsid w:val="00D912BA"/>
    <w:rsid w:val="00D91F6F"/>
    <w:rsid w:val="00D97A6F"/>
    <w:rsid w:val="00D97CDD"/>
    <w:rsid w:val="00DA2032"/>
    <w:rsid w:val="00DA57A9"/>
    <w:rsid w:val="00DA621C"/>
    <w:rsid w:val="00DA78AE"/>
    <w:rsid w:val="00DB035A"/>
    <w:rsid w:val="00DB153F"/>
    <w:rsid w:val="00DB22A6"/>
    <w:rsid w:val="00DB7A2A"/>
    <w:rsid w:val="00DC0980"/>
    <w:rsid w:val="00DC2506"/>
    <w:rsid w:val="00DC461C"/>
    <w:rsid w:val="00DC51F7"/>
    <w:rsid w:val="00DD01A5"/>
    <w:rsid w:val="00DD1F1F"/>
    <w:rsid w:val="00DD3A1B"/>
    <w:rsid w:val="00DD5555"/>
    <w:rsid w:val="00DD6275"/>
    <w:rsid w:val="00DD6CFF"/>
    <w:rsid w:val="00DE0E85"/>
    <w:rsid w:val="00DE0F32"/>
    <w:rsid w:val="00DE6B1B"/>
    <w:rsid w:val="00DF152D"/>
    <w:rsid w:val="00DF2811"/>
    <w:rsid w:val="00DF3487"/>
    <w:rsid w:val="00DF6D93"/>
    <w:rsid w:val="00DF7A88"/>
    <w:rsid w:val="00E0386C"/>
    <w:rsid w:val="00E038D5"/>
    <w:rsid w:val="00E04EC8"/>
    <w:rsid w:val="00E06001"/>
    <w:rsid w:val="00E068DC"/>
    <w:rsid w:val="00E07CEF"/>
    <w:rsid w:val="00E10039"/>
    <w:rsid w:val="00E105E4"/>
    <w:rsid w:val="00E10616"/>
    <w:rsid w:val="00E1314A"/>
    <w:rsid w:val="00E13E85"/>
    <w:rsid w:val="00E241EC"/>
    <w:rsid w:val="00E2442D"/>
    <w:rsid w:val="00E31EAC"/>
    <w:rsid w:val="00E40950"/>
    <w:rsid w:val="00E41828"/>
    <w:rsid w:val="00E4514D"/>
    <w:rsid w:val="00E4568C"/>
    <w:rsid w:val="00E5058A"/>
    <w:rsid w:val="00E50854"/>
    <w:rsid w:val="00E520DC"/>
    <w:rsid w:val="00E52ABD"/>
    <w:rsid w:val="00E5333D"/>
    <w:rsid w:val="00E5580C"/>
    <w:rsid w:val="00E561B6"/>
    <w:rsid w:val="00E56600"/>
    <w:rsid w:val="00E6628D"/>
    <w:rsid w:val="00E66891"/>
    <w:rsid w:val="00E668A3"/>
    <w:rsid w:val="00E67B09"/>
    <w:rsid w:val="00E67BE8"/>
    <w:rsid w:val="00E7083A"/>
    <w:rsid w:val="00E71359"/>
    <w:rsid w:val="00E71643"/>
    <w:rsid w:val="00E720AC"/>
    <w:rsid w:val="00E74996"/>
    <w:rsid w:val="00E754E1"/>
    <w:rsid w:val="00E76264"/>
    <w:rsid w:val="00E76F72"/>
    <w:rsid w:val="00E8095D"/>
    <w:rsid w:val="00E82189"/>
    <w:rsid w:val="00E82337"/>
    <w:rsid w:val="00E8253E"/>
    <w:rsid w:val="00E835CD"/>
    <w:rsid w:val="00E9502A"/>
    <w:rsid w:val="00EA001B"/>
    <w:rsid w:val="00EA2A37"/>
    <w:rsid w:val="00EA667E"/>
    <w:rsid w:val="00EA6C6F"/>
    <w:rsid w:val="00EB05D5"/>
    <w:rsid w:val="00EB0A89"/>
    <w:rsid w:val="00EB0FE9"/>
    <w:rsid w:val="00EB1086"/>
    <w:rsid w:val="00EB163E"/>
    <w:rsid w:val="00EB2D1C"/>
    <w:rsid w:val="00EB442C"/>
    <w:rsid w:val="00EC1DF4"/>
    <w:rsid w:val="00EC4BD9"/>
    <w:rsid w:val="00EC52A6"/>
    <w:rsid w:val="00EC613F"/>
    <w:rsid w:val="00EC66AA"/>
    <w:rsid w:val="00EC76A2"/>
    <w:rsid w:val="00ED0F2C"/>
    <w:rsid w:val="00ED15FC"/>
    <w:rsid w:val="00ED22D2"/>
    <w:rsid w:val="00ED3052"/>
    <w:rsid w:val="00ED3A7F"/>
    <w:rsid w:val="00ED5B24"/>
    <w:rsid w:val="00ED5C26"/>
    <w:rsid w:val="00EE0E43"/>
    <w:rsid w:val="00EE1AF3"/>
    <w:rsid w:val="00EE2D66"/>
    <w:rsid w:val="00EE30DC"/>
    <w:rsid w:val="00EE339B"/>
    <w:rsid w:val="00EE4F30"/>
    <w:rsid w:val="00EE5BD6"/>
    <w:rsid w:val="00EE6EA0"/>
    <w:rsid w:val="00EE7F65"/>
    <w:rsid w:val="00EF093D"/>
    <w:rsid w:val="00EF0E7C"/>
    <w:rsid w:val="00EF664F"/>
    <w:rsid w:val="00F00671"/>
    <w:rsid w:val="00F00E4A"/>
    <w:rsid w:val="00F04486"/>
    <w:rsid w:val="00F07251"/>
    <w:rsid w:val="00F10035"/>
    <w:rsid w:val="00F11002"/>
    <w:rsid w:val="00F11E59"/>
    <w:rsid w:val="00F1442B"/>
    <w:rsid w:val="00F25F62"/>
    <w:rsid w:val="00F267CC"/>
    <w:rsid w:val="00F31F6D"/>
    <w:rsid w:val="00F3265D"/>
    <w:rsid w:val="00F337C2"/>
    <w:rsid w:val="00F3645A"/>
    <w:rsid w:val="00F365C2"/>
    <w:rsid w:val="00F36B55"/>
    <w:rsid w:val="00F37AF0"/>
    <w:rsid w:val="00F37EFA"/>
    <w:rsid w:val="00F4057E"/>
    <w:rsid w:val="00F40F18"/>
    <w:rsid w:val="00F42315"/>
    <w:rsid w:val="00F44A81"/>
    <w:rsid w:val="00F44FAB"/>
    <w:rsid w:val="00F472B0"/>
    <w:rsid w:val="00F528A5"/>
    <w:rsid w:val="00F57C5F"/>
    <w:rsid w:val="00F60A0C"/>
    <w:rsid w:val="00F638B3"/>
    <w:rsid w:val="00F63B49"/>
    <w:rsid w:val="00F65AE1"/>
    <w:rsid w:val="00F70807"/>
    <w:rsid w:val="00F70E63"/>
    <w:rsid w:val="00F71036"/>
    <w:rsid w:val="00F738F6"/>
    <w:rsid w:val="00F75A33"/>
    <w:rsid w:val="00F770DE"/>
    <w:rsid w:val="00F776A4"/>
    <w:rsid w:val="00F77737"/>
    <w:rsid w:val="00F81DA1"/>
    <w:rsid w:val="00F858DB"/>
    <w:rsid w:val="00F861FC"/>
    <w:rsid w:val="00F9364F"/>
    <w:rsid w:val="00F94059"/>
    <w:rsid w:val="00F97912"/>
    <w:rsid w:val="00FA08ED"/>
    <w:rsid w:val="00FA15E6"/>
    <w:rsid w:val="00FA2439"/>
    <w:rsid w:val="00FA2E79"/>
    <w:rsid w:val="00FA2FC7"/>
    <w:rsid w:val="00FA50BC"/>
    <w:rsid w:val="00FA66D6"/>
    <w:rsid w:val="00FA6882"/>
    <w:rsid w:val="00FA7599"/>
    <w:rsid w:val="00FB0592"/>
    <w:rsid w:val="00FB0844"/>
    <w:rsid w:val="00FB38F6"/>
    <w:rsid w:val="00FB5494"/>
    <w:rsid w:val="00FB67F6"/>
    <w:rsid w:val="00FC07F8"/>
    <w:rsid w:val="00FC1979"/>
    <w:rsid w:val="00FC317D"/>
    <w:rsid w:val="00FC3731"/>
    <w:rsid w:val="00FC416B"/>
    <w:rsid w:val="00FC5314"/>
    <w:rsid w:val="00FC7302"/>
    <w:rsid w:val="00FD17B0"/>
    <w:rsid w:val="00FD2B9D"/>
    <w:rsid w:val="00FD431D"/>
    <w:rsid w:val="00FD49F1"/>
    <w:rsid w:val="00FD613F"/>
    <w:rsid w:val="00FD6A18"/>
    <w:rsid w:val="00FD760E"/>
    <w:rsid w:val="00FE0175"/>
    <w:rsid w:val="00FE089C"/>
    <w:rsid w:val="00FE0A44"/>
    <w:rsid w:val="00FE13B8"/>
    <w:rsid w:val="00FE349D"/>
    <w:rsid w:val="00FE3CCB"/>
    <w:rsid w:val="00FE44C7"/>
    <w:rsid w:val="00FE5AAA"/>
    <w:rsid w:val="00FE5FCD"/>
    <w:rsid w:val="00FE7063"/>
    <w:rsid w:val="00FE717C"/>
    <w:rsid w:val="00FF18A2"/>
    <w:rsid w:val="00FF31D7"/>
    <w:rsid w:val="00FF3407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47F35-6C90-42E2-A6D3-3B0A273A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E9"/>
    <w:pPr>
      <w:spacing w:after="200" w:line="276" w:lineRule="auto"/>
    </w:pPr>
    <w:rPr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62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21F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Milan Momčilović</cp:lastModifiedBy>
  <cp:revision>2</cp:revision>
  <dcterms:created xsi:type="dcterms:W3CDTF">2021-03-29T07:02:00Z</dcterms:created>
  <dcterms:modified xsi:type="dcterms:W3CDTF">2021-03-29T07:02:00Z</dcterms:modified>
</cp:coreProperties>
</file>